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120" w:rsidRPr="0057502A" w:rsidRDefault="00013D97" w:rsidP="00D62E87">
      <w:pPr>
        <w:spacing w:after="240" w:line="240" w:lineRule="auto"/>
        <w:jc w:val="center"/>
        <w:rPr>
          <w:rFonts w:ascii="Sylfaen" w:hAnsi="Sylfaen"/>
          <w:b/>
          <w:sz w:val="28"/>
          <w:lang w:val="ka-GE"/>
        </w:rPr>
      </w:pPr>
      <w:r w:rsidRPr="0057502A">
        <w:rPr>
          <w:rFonts w:ascii="Sylfaen" w:hAnsi="Sylfaen"/>
          <w:b/>
          <w:sz w:val="28"/>
          <w:lang w:val="ka-GE"/>
        </w:rPr>
        <w:t>სახელ</w:t>
      </w:r>
      <w:r w:rsidR="005A44F5" w:rsidRPr="0057502A">
        <w:rPr>
          <w:rFonts w:ascii="Sylfaen" w:hAnsi="Sylfaen"/>
          <w:b/>
          <w:sz w:val="28"/>
          <w:lang w:val="ka-GE"/>
        </w:rPr>
        <w:t>მ</w:t>
      </w:r>
      <w:r w:rsidRPr="0057502A">
        <w:rPr>
          <w:rFonts w:ascii="Sylfaen" w:hAnsi="Sylfaen"/>
          <w:b/>
          <w:sz w:val="28"/>
          <w:lang w:val="ka-GE"/>
        </w:rPr>
        <w:t>წ</w:t>
      </w:r>
      <w:r w:rsidR="005A44F5" w:rsidRPr="0057502A">
        <w:rPr>
          <w:rFonts w:ascii="Sylfaen" w:hAnsi="Sylfaen"/>
          <w:b/>
          <w:sz w:val="28"/>
          <w:lang w:val="ka-GE"/>
        </w:rPr>
        <w:t>იფო ვალი</w:t>
      </w:r>
    </w:p>
    <w:p w:rsidR="009B63F3" w:rsidRDefault="00CC46C4" w:rsidP="00D62E87">
      <w:pPr>
        <w:spacing w:line="240" w:lineRule="auto"/>
        <w:jc w:val="both"/>
        <w:rPr>
          <w:rFonts w:ascii="Sylfaen" w:hAnsi="Sylfaen"/>
          <w:szCs w:val="21"/>
          <w:shd w:val="clear" w:color="auto" w:fill="FFFFFF"/>
          <w:lang w:val="ka-GE"/>
        </w:rPr>
      </w:pPr>
      <w:r w:rsidRPr="0057502A">
        <w:rPr>
          <w:rFonts w:ascii="Sylfaen" w:hAnsi="Sylfaen" w:cs="Sylfaen"/>
          <w:sz w:val="24"/>
          <w:szCs w:val="18"/>
          <w:shd w:val="clear" w:color="auto" w:fill="FFFFFF"/>
        </w:rPr>
        <w:tab/>
      </w:r>
      <w:proofErr w:type="gramStart"/>
      <w:r w:rsidR="006F4202" w:rsidRPr="00F01A27">
        <w:rPr>
          <w:rFonts w:ascii="Sylfaen" w:hAnsi="Sylfaen" w:cs="Sylfaen"/>
          <w:szCs w:val="21"/>
          <w:shd w:val="clear" w:color="auto" w:fill="FFFFFF"/>
        </w:rPr>
        <w:t>სახელმწიფო</w:t>
      </w:r>
      <w:proofErr w:type="gramEnd"/>
      <w:r w:rsidR="009B63F3">
        <w:rPr>
          <w:rFonts w:ascii="Sylfaen" w:hAnsi="Sylfaen" w:cs="Sylfaen"/>
          <w:szCs w:val="21"/>
          <w:shd w:val="clear" w:color="auto" w:fill="FFFFFF"/>
        </w:rPr>
        <w:t xml:space="preserve"> </w:t>
      </w:r>
      <w:r w:rsidR="009B63F3">
        <w:rPr>
          <w:rFonts w:ascii="Sylfaen" w:hAnsi="Sylfaen" w:cs="Sylfaen"/>
          <w:szCs w:val="21"/>
          <w:shd w:val="clear" w:color="auto" w:fill="FFFFFF"/>
          <w:lang w:val="ka-GE"/>
        </w:rPr>
        <w:t xml:space="preserve">ვალის ნაშთი </w:t>
      </w:r>
      <w:r w:rsidR="00434625">
        <w:rPr>
          <w:rFonts w:ascii="Sylfaen" w:hAnsi="Sylfaen" w:cs="Sylfaen"/>
          <w:szCs w:val="21"/>
          <w:shd w:val="clear" w:color="auto" w:fill="FFFFFF"/>
          <w:lang w:val="ka-GE"/>
        </w:rPr>
        <w:t>201</w:t>
      </w:r>
      <w:r w:rsidR="00434625">
        <w:rPr>
          <w:rFonts w:ascii="Sylfaen" w:hAnsi="Sylfaen" w:cs="Sylfaen"/>
          <w:szCs w:val="21"/>
          <w:shd w:val="clear" w:color="auto" w:fill="FFFFFF"/>
        </w:rPr>
        <w:t>8</w:t>
      </w:r>
      <w:r w:rsidR="00434625">
        <w:rPr>
          <w:rFonts w:ascii="Sylfaen" w:hAnsi="Sylfaen" w:cs="Sylfaen"/>
          <w:szCs w:val="21"/>
          <w:shd w:val="clear" w:color="auto" w:fill="FFFFFF"/>
          <w:lang w:val="ka-GE"/>
        </w:rPr>
        <w:t xml:space="preserve"> </w:t>
      </w:r>
      <w:r w:rsidR="009B63F3">
        <w:rPr>
          <w:rFonts w:ascii="Sylfaen" w:hAnsi="Sylfaen" w:cs="Sylfaen"/>
          <w:szCs w:val="21"/>
          <w:shd w:val="clear" w:color="auto" w:fill="FFFFFF"/>
          <w:lang w:val="ka-GE"/>
        </w:rPr>
        <w:t xml:space="preserve">წლის </w:t>
      </w:r>
      <w:r w:rsidR="00311D8A">
        <w:rPr>
          <w:rFonts w:ascii="Sylfaen" w:hAnsi="Sylfaen" w:cs="Sylfaen"/>
          <w:szCs w:val="21"/>
          <w:shd w:val="clear" w:color="auto" w:fill="FFFFFF"/>
        </w:rPr>
        <w:t>31</w:t>
      </w:r>
      <w:r w:rsidR="00EB0EE9">
        <w:rPr>
          <w:rFonts w:ascii="Sylfaen" w:hAnsi="Sylfaen" w:cs="Sylfaen"/>
          <w:szCs w:val="21"/>
          <w:shd w:val="clear" w:color="auto" w:fill="FFFFFF"/>
        </w:rPr>
        <w:t xml:space="preserve"> </w:t>
      </w:r>
      <w:r w:rsidR="00311D8A">
        <w:rPr>
          <w:rFonts w:ascii="Sylfaen" w:hAnsi="Sylfaen" w:cs="Sylfaen"/>
          <w:szCs w:val="21"/>
          <w:shd w:val="clear" w:color="auto" w:fill="FFFFFF"/>
          <w:lang w:val="ka-GE"/>
        </w:rPr>
        <w:t>დეკემბრის</w:t>
      </w:r>
      <w:r w:rsidR="00434625">
        <w:rPr>
          <w:rFonts w:ascii="Sylfaen" w:hAnsi="Sylfaen" w:cs="Sylfaen"/>
          <w:szCs w:val="21"/>
          <w:shd w:val="clear" w:color="auto" w:fill="FFFFFF"/>
          <w:lang w:val="ka-GE"/>
        </w:rPr>
        <w:t xml:space="preserve"> </w:t>
      </w:r>
      <w:r w:rsidR="009B63F3">
        <w:rPr>
          <w:rFonts w:ascii="Sylfaen" w:hAnsi="Sylfaen" w:cs="Sylfaen"/>
          <w:szCs w:val="21"/>
          <w:shd w:val="clear" w:color="auto" w:fill="FFFFFF"/>
          <w:lang w:val="ka-GE"/>
        </w:rPr>
        <w:t xml:space="preserve">მდგომარეობით შეადგენს </w:t>
      </w:r>
      <w:r w:rsidR="009B76F6">
        <w:rPr>
          <w:rFonts w:ascii="Sylfaen" w:hAnsi="Sylfaen" w:cs="Sylfaen"/>
          <w:szCs w:val="21"/>
          <w:shd w:val="clear" w:color="auto" w:fill="FFFFFF"/>
        </w:rPr>
        <w:t xml:space="preserve">17,795.3 </w:t>
      </w:r>
      <w:r w:rsidR="009B63F3">
        <w:rPr>
          <w:rFonts w:ascii="Sylfaen" w:hAnsi="Sylfaen" w:cs="Sylfaen"/>
          <w:szCs w:val="21"/>
          <w:shd w:val="clear" w:color="auto" w:fill="FFFFFF"/>
          <w:lang w:val="ka-GE"/>
        </w:rPr>
        <w:t>მილიონ ლარს.</w:t>
      </w:r>
      <w:r w:rsidR="006F4202" w:rsidRPr="00F01A27">
        <w:rPr>
          <w:rFonts w:ascii="Sylfaen" w:hAnsi="Sylfaen"/>
          <w:szCs w:val="21"/>
          <w:shd w:val="clear" w:color="auto" w:fill="FFFFFF"/>
        </w:rPr>
        <w:t xml:space="preserve"> </w:t>
      </w:r>
      <w:r w:rsidR="009B63F3">
        <w:rPr>
          <w:rFonts w:ascii="Sylfaen" w:hAnsi="Sylfaen"/>
          <w:szCs w:val="21"/>
          <w:shd w:val="clear" w:color="auto" w:fill="FFFFFF"/>
          <w:lang w:val="ka-GE"/>
        </w:rPr>
        <w:t xml:space="preserve">მათ შორის </w:t>
      </w:r>
      <w:r w:rsidR="006F4202" w:rsidRPr="00F01A27">
        <w:rPr>
          <w:rFonts w:ascii="Sylfaen" w:hAnsi="Sylfaen"/>
          <w:szCs w:val="21"/>
          <w:shd w:val="clear" w:color="auto" w:fill="FFFFFF"/>
          <w:lang w:val="ka-GE"/>
        </w:rPr>
        <w:t xml:space="preserve">საგარეო ვალის </w:t>
      </w:r>
      <w:r w:rsidR="00311D8A" w:rsidRPr="00311D8A">
        <w:rPr>
          <w:rFonts w:ascii="Sylfaen" w:hAnsi="Sylfaen"/>
          <w:szCs w:val="21"/>
          <w:shd w:val="clear" w:color="auto" w:fill="FFFFFF"/>
          <w:lang w:val="ka-GE"/>
        </w:rPr>
        <w:t>14</w:t>
      </w:r>
      <w:r w:rsidR="00311D8A">
        <w:rPr>
          <w:rFonts w:ascii="Sylfaen" w:hAnsi="Sylfaen"/>
          <w:szCs w:val="21"/>
          <w:shd w:val="clear" w:color="auto" w:fill="FFFFFF"/>
          <w:lang w:val="ka-GE"/>
        </w:rPr>
        <w:t>,</w:t>
      </w:r>
      <w:r w:rsidR="00311D8A" w:rsidRPr="00311D8A">
        <w:rPr>
          <w:rFonts w:ascii="Sylfaen" w:hAnsi="Sylfaen"/>
          <w:szCs w:val="21"/>
          <w:shd w:val="clear" w:color="auto" w:fill="FFFFFF"/>
          <w:lang w:val="ka-GE"/>
        </w:rPr>
        <w:t>544</w:t>
      </w:r>
      <w:r w:rsidR="00311D8A">
        <w:rPr>
          <w:rFonts w:ascii="Sylfaen" w:hAnsi="Sylfaen"/>
          <w:szCs w:val="21"/>
          <w:shd w:val="clear" w:color="auto" w:fill="FFFFFF"/>
          <w:lang w:val="ka-GE"/>
        </w:rPr>
        <w:t>.</w:t>
      </w:r>
      <w:r w:rsidR="00311D8A" w:rsidRPr="00311D8A">
        <w:rPr>
          <w:rFonts w:ascii="Sylfaen" w:hAnsi="Sylfaen"/>
          <w:szCs w:val="21"/>
          <w:shd w:val="clear" w:color="auto" w:fill="FFFFFF"/>
          <w:lang w:val="ka-GE"/>
        </w:rPr>
        <w:t>9</w:t>
      </w:r>
      <w:r w:rsidR="00311D8A">
        <w:rPr>
          <w:rFonts w:ascii="Sylfaen" w:hAnsi="Sylfaen"/>
          <w:szCs w:val="21"/>
          <w:shd w:val="clear" w:color="auto" w:fill="FFFFFF"/>
          <w:lang w:val="ka-GE"/>
        </w:rPr>
        <w:t xml:space="preserve"> </w:t>
      </w:r>
      <w:r w:rsidR="006F4202" w:rsidRPr="00F01A27">
        <w:rPr>
          <w:rFonts w:ascii="Sylfaen" w:hAnsi="Sylfaen"/>
          <w:szCs w:val="21"/>
          <w:shd w:val="clear" w:color="auto" w:fill="FFFFFF"/>
          <w:lang w:val="ka-GE"/>
        </w:rPr>
        <w:t>მილიონ ლარს,</w:t>
      </w:r>
      <w:r w:rsidR="009B63F3">
        <w:rPr>
          <w:rFonts w:ascii="Sylfaen" w:hAnsi="Sylfaen"/>
          <w:szCs w:val="21"/>
          <w:shd w:val="clear" w:color="auto" w:fill="FFFFFF"/>
          <w:lang w:val="ka-GE"/>
        </w:rPr>
        <w:t xml:space="preserve"> ხოლო საშინაო ვალის ნაშთი </w:t>
      </w:r>
      <w:r w:rsidR="00311D8A" w:rsidRPr="00311D8A">
        <w:rPr>
          <w:rFonts w:ascii="Sylfaen" w:hAnsi="Sylfaen"/>
          <w:szCs w:val="21"/>
          <w:shd w:val="clear" w:color="auto" w:fill="FFFFFF"/>
          <w:lang w:val="ka-GE"/>
        </w:rPr>
        <w:t>3</w:t>
      </w:r>
      <w:r w:rsidR="00311D8A">
        <w:rPr>
          <w:rFonts w:ascii="Sylfaen" w:hAnsi="Sylfaen"/>
          <w:szCs w:val="21"/>
          <w:shd w:val="clear" w:color="auto" w:fill="FFFFFF"/>
          <w:lang w:val="ka-GE"/>
        </w:rPr>
        <w:t>,</w:t>
      </w:r>
      <w:r w:rsidR="009B76F6">
        <w:rPr>
          <w:rFonts w:ascii="Sylfaen" w:hAnsi="Sylfaen"/>
          <w:szCs w:val="21"/>
          <w:shd w:val="clear" w:color="auto" w:fill="FFFFFF"/>
        </w:rPr>
        <w:t>250</w:t>
      </w:r>
      <w:r w:rsidR="00311D8A">
        <w:rPr>
          <w:rFonts w:ascii="Sylfaen" w:hAnsi="Sylfaen"/>
          <w:szCs w:val="21"/>
          <w:shd w:val="clear" w:color="auto" w:fill="FFFFFF"/>
          <w:lang w:val="ka-GE"/>
        </w:rPr>
        <w:t>.</w:t>
      </w:r>
      <w:r w:rsidR="009B76F6">
        <w:rPr>
          <w:rFonts w:ascii="Sylfaen" w:hAnsi="Sylfaen"/>
          <w:szCs w:val="21"/>
          <w:shd w:val="clear" w:color="auto" w:fill="FFFFFF"/>
        </w:rPr>
        <w:t>5</w:t>
      </w:r>
      <w:r w:rsidR="00311D8A">
        <w:rPr>
          <w:rFonts w:ascii="Sylfaen" w:hAnsi="Sylfaen"/>
          <w:szCs w:val="21"/>
          <w:shd w:val="clear" w:color="auto" w:fill="FFFFFF"/>
          <w:lang w:val="ka-GE"/>
        </w:rPr>
        <w:t xml:space="preserve"> </w:t>
      </w:r>
      <w:r w:rsidR="009B63F3">
        <w:rPr>
          <w:rFonts w:ascii="Sylfaen" w:hAnsi="Sylfaen"/>
          <w:szCs w:val="21"/>
          <w:shd w:val="clear" w:color="auto" w:fill="FFFFFF"/>
          <w:lang w:val="ka-GE"/>
        </w:rPr>
        <w:t>მილიონ ლარს.</w:t>
      </w:r>
    </w:p>
    <w:p w:rsidR="006F4202" w:rsidRDefault="009B63F3" w:rsidP="00D62E87">
      <w:pPr>
        <w:spacing w:line="240" w:lineRule="auto"/>
        <w:ind w:firstLine="720"/>
        <w:jc w:val="both"/>
        <w:rPr>
          <w:rFonts w:ascii="Sylfaen" w:hAnsi="Sylfaen" w:cs="Sylfaen"/>
          <w:szCs w:val="21"/>
          <w:shd w:val="clear" w:color="auto" w:fill="FFFFFF"/>
          <w:lang w:val="ka-GE"/>
        </w:rPr>
      </w:pPr>
      <w:r>
        <w:rPr>
          <w:rFonts w:ascii="Sylfaen" w:hAnsi="Sylfaen"/>
          <w:szCs w:val="21"/>
          <w:shd w:val="clear" w:color="auto" w:fill="FFFFFF"/>
          <w:lang w:val="ka-GE"/>
        </w:rPr>
        <w:t xml:space="preserve">საგარეო ვალის ნაშთი, </w:t>
      </w:r>
      <w:r w:rsidR="00311D8A" w:rsidRPr="00311D8A">
        <w:rPr>
          <w:rFonts w:ascii="Sylfaen" w:hAnsi="Sylfaen"/>
          <w:szCs w:val="21"/>
          <w:shd w:val="clear" w:color="auto" w:fill="FFFFFF"/>
          <w:lang w:val="ka-GE"/>
        </w:rPr>
        <w:t>14</w:t>
      </w:r>
      <w:r w:rsidR="00311D8A">
        <w:rPr>
          <w:rFonts w:ascii="Sylfaen" w:hAnsi="Sylfaen"/>
          <w:szCs w:val="21"/>
          <w:shd w:val="clear" w:color="auto" w:fill="FFFFFF"/>
          <w:lang w:val="ka-GE"/>
        </w:rPr>
        <w:t>,</w:t>
      </w:r>
      <w:r w:rsidR="00311D8A" w:rsidRPr="00311D8A">
        <w:rPr>
          <w:rFonts w:ascii="Sylfaen" w:hAnsi="Sylfaen"/>
          <w:szCs w:val="21"/>
          <w:shd w:val="clear" w:color="auto" w:fill="FFFFFF"/>
          <w:lang w:val="ka-GE"/>
        </w:rPr>
        <w:t>544</w:t>
      </w:r>
      <w:r w:rsidR="00311D8A">
        <w:rPr>
          <w:rFonts w:ascii="Sylfaen" w:hAnsi="Sylfaen"/>
          <w:szCs w:val="21"/>
          <w:shd w:val="clear" w:color="auto" w:fill="FFFFFF"/>
          <w:lang w:val="ka-GE"/>
        </w:rPr>
        <w:t>.</w:t>
      </w:r>
      <w:r w:rsidR="00311D8A" w:rsidRPr="00311D8A">
        <w:rPr>
          <w:rFonts w:ascii="Sylfaen" w:hAnsi="Sylfaen"/>
          <w:szCs w:val="21"/>
          <w:shd w:val="clear" w:color="auto" w:fill="FFFFFF"/>
          <w:lang w:val="ka-GE"/>
        </w:rPr>
        <w:t>9</w:t>
      </w:r>
      <w:r w:rsidR="00311D8A">
        <w:rPr>
          <w:rFonts w:ascii="Sylfaen" w:hAnsi="Sylfaen"/>
          <w:szCs w:val="21"/>
          <w:shd w:val="clear" w:color="auto" w:fill="FFFFFF"/>
          <w:lang w:val="ka-GE"/>
        </w:rPr>
        <w:t xml:space="preserve"> </w:t>
      </w:r>
      <w:r>
        <w:rPr>
          <w:rFonts w:ascii="Sylfaen" w:hAnsi="Sylfaen"/>
          <w:szCs w:val="21"/>
          <w:shd w:val="clear" w:color="auto" w:fill="FFFFFF"/>
          <w:lang w:val="ka-GE"/>
        </w:rPr>
        <w:t>მილიონი ლარი,</w:t>
      </w:r>
      <w:r w:rsidR="006F4202" w:rsidRPr="00F01A27">
        <w:rPr>
          <w:rFonts w:ascii="Sylfaen" w:hAnsi="Sylfaen"/>
          <w:szCs w:val="21"/>
          <w:shd w:val="clear" w:color="auto" w:fill="FFFFFF"/>
          <w:lang w:val="ka-GE"/>
        </w:rPr>
        <w:t xml:space="preserve"> </w:t>
      </w:r>
      <w:r w:rsidR="006F4202" w:rsidRPr="00F01A27">
        <w:rPr>
          <w:rFonts w:ascii="Sylfaen" w:hAnsi="Sylfaen" w:cs="Sylfaen"/>
          <w:szCs w:val="21"/>
          <w:shd w:val="clear" w:color="auto" w:fill="FFFFFF"/>
        </w:rPr>
        <w:t>მთლიანი</w:t>
      </w:r>
      <w:r w:rsidR="006F4202" w:rsidRPr="00F01A27">
        <w:rPr>
          <w:rFonts w:ascii="Sylfaen" w:hAnsi="Sylfaen"/>
          <w:szCs w:val="21"/>
          <w:shd w:val="clear" w:color="auto" w:fill="FFFFFF"/>
        </w:rPr>
        <w:t xml:space="preserve"> </w:t>
      </w:r>
      <w:r w:rsidR="006F4202" w:rsidRPr="00F01A27">
        <w:rPr>
          <w:rFonts w:ascii="Sylfaen" w:hAnsi="Sylfaen" w:cs="Sylfaen"/>
          <w:szCs w:val="21"/>
          <w:shd w:val="clear" w:color="auto" w:fill="FFFFFF"/>
        </w:rPr>
        <w:t>სახელმწიფო</w:t>
      </w:r>
      <w:r w:rsidR="006F4202" w:rsidRPr="00F01A27">
        <w:rPr>
          <w:rFonts w:ascii="Sylfaen" w:hAnsi="Sylfaen"/>
          <w:szCs w:val="21"/>
          <w:shd w:val="clear" w:color="auto" w:fill="FFFFFF"/>
        </w:rPr>
        <w:t xml:space="preserve"> </w:t>
      </w:r>
      <w:r w:rsidR="006F4202" w:rsidRPr="00F01A27">
        <w:rPr>
          <w:rFonts w:ascii="Sylfaen" w:hAnsi="Sylfaen" w:cs="Sylfaen"/>
          <w:szCs w:val="21"/>
          <w:shd w:val="clear" w:color="auto" w:fill="FFFFFF"/>
        </w:rPr>
        <w:t>ვალის</w:t>
      </w:r>
      <w:r w:rsidR="006F4202" w:rsidRPr="00F01A27">
        <w:rPr>
          <w:rFonts w:ascii="Sylfaen" w:hAnsi="Sylfaen"/>
          <w:szCs w:val="21"/>
          <w:shd w:val="clear" w:color="auto" w:fill="FFFFFF"/>
        </w:rPr>
        <w:t xml:space="preserve"> </w:t>
      </w:r>
      <w:r w:rsidR="00175151">
        <w:rPr>
          <w:rFonts w:ascii="Sylfaen" w:hAnsi="Sylfaen"/>
          <w:szCs w:val="21"/>
          <w:shd w:val="clear" w:color="auto" w:fill="FFFFFF"/>
          <w:lang w:val="ka-GE"/>
        </w:rPr>
        <w:t>82</w:t>
      </w:r>
      <w:r w:rsidR="006F4202" w:rsidRPr="00F01A27">
        <w:rPr>
          <w:rFonts w:ascii="Sylfaen" w:hAnsi="Sylfaen"/>
          <w:szCs w:val="21"/>
          <w:shd w:val="clear" w:color="auto" w:fill="FFFFFF"/>
        </w:rPr>
        <w:t>%-</w:t>
      </w:r>
      <w:r w:rsidR="006F4202" w:rsidRPr="00F01A27">
        <w:rPr>
          <w:rFonts w:ascii="Sylfaen" w:hAnsi="Sylfaen"/>
          <w:szCs w:val="21"/>
          <w:shd w:val="clear" w:color="auto" w:fill="FFFFFF"/>
          <w:lang w:val="ka-GE"/>
        </w:rPr>
        <w:t>ია</w:t>
      </w:r>
      <w:r w:rsidR="006F4202" w:rsidRPr="00F01A27">
        <w:rPr>
          <w:rFonts w:ascii="Sylfaen" w:hAnsi="Sylfaen"/>
          <w:szCs w:val="21"/>
          <w:shd w:val="clear" w:color="auto" w:fill="FFFFFF"/>
        </w:rPr>
        <w:t xml:space="preserve">. </w:t>
      </w:r>
      <w:r w:rsidR="006F4202" w:rsidRPr="00F01A27">
        <w:rPr>
          <w:rFonts w:ascii="Sylfaen" w:hAnsi="Sylfaen"/>
          <w:szCs w:val="21"/>
          <w:shd w:val="clear" w:color="auto" w:fill="FFFFFF"/>
          <w:lang w:val="ka-GE"/>
        </w:rPr>
        <w:t>აღნიშნული</w:t>
      </w:r>
      <w:r w:rsidR="006F4202" w:rsidRPr="00F01A27">
        <w:rPr>
          <w:rFonts w:ascii="Sylfaen" w:hAnsi="Sylfaen"/>
          <w:szCs w:val="21"/>
          <w:shd w:val="clear" w:color="auto" w:fill="FFFFFF"/>
        </w:rPr>
        <w:t xml:space="preserve"> </w:t>
      </w:r>
      <w:r w:rsidR="006F4202" w:rsidRPr="00F01A27">
        <w:rPr>
          <w:rFonts w:ascii="Sylfaen" w:hAnsi="Sylfaen" w:cs="Sylfaen"/>
          <w:szCs w:val="21"/>
          <w:shd w:val="clear" w:color="auto" w:fill="FFFFFF"/>
        </w:rPr>
        <w:t>საკრედიტო</w:t>
      </w:r>
      <w:r w:rsidR="006F4202" w:rsidRPr="00F01A27">
        <w:rPr>
          <w:rFonts w:ascii="Sylfaen" w:hAnsi="Sylfaen"/>
          <w:szCs w:val="21"/>
          <w:shd w:val="clear" w:color="auto" w:fill="FFFFFF"/>
        </w:rPr>
        <w:t xml:space="preserve"> </w:t>
      </w:r>
      <w:r w:rsidR="006F4202" w:rsidRPr="00F01A27">
        <w:rPr>
          <w:rFonts w:ascii="Sylfaen" w:hAnsi="Sylfaen" w:cs="Sylfaen"/>
          <w:szCs w:val="21"/>
          <w:shd w:val="clear" w:color="auto" w:fill="FFFFFF"/>
        </w:rPr>
        <w:t>რესურსის</w:t>
      </w:r>
      <w:r w:rsidR="006F4202" w:rsidRPr="00F01A27">
        <w:rPr>
          <w:rFonts w:ascii="Sylfaen" w:hAnsi="Sylfaen"/>
          <w:szCs w:val="21"/>
          <w:shd w:val="clear" w:color="auto" w:fill="FFFFFF"/>
        </w:rPr>
        <w:t xml:space="preserve"> </w:t>
      </w:r>
      <w:r w:rsidR="006F4202" w:rsidRPr="00F01A27">
        <w:rPr>
          <w:rFonts w:ascii="Sylfaen" w:hAnsi="Sylfaen" w:cs="Sylfaen"/>
          <w:szCs w:val="21"/>
          <w:shd w:val="clear" w:color="auto" w:fill="FFFFFF"/>
        </w:rPr>
        <w:t>დიდი</w:t>
      </w:r>
      <w:r w:rsidR="006F4202" w:rsidRPr="00F01A27">
        <w:rPr>
          <w:rFonts w:ascii="Sylfaen" w:hAnsi="Sylfaen"/>
          <w:szCs w:val="21"/>
          <w:shd w:val="clear" w:color="auto" w:fill="FFFFFF"/>
        </w:rPr>
        <w:t xml:space="preserve"> </w:t>
      </w:r>
      <w:r w:rsidR="006F4202" w:rsidRPr="00F01A27">
        <w:rPr>
          <w:rFonts w:ascii="Sylfaen" w:hAnsi="Sylfaen" w:cs="Sylfaen"/>
          <w:szCs w:val="21"/>
          <w:shd w:val="clear" w:color="auto" w:fill="FFFFFF"/>
        </w:rPr>
        <w:t>ნაწილი</w:t>
      </w:r>
      <w:r w:rsidR="006F4202" w:rsidRPr="00F01A27">
        <w:rPr>
          <w:rFonts w:ascii="Sylfaen" w:hAnsi="Sylfaen"/>
          <w:szCs w:val="21"/>
          <w:shd w:val="clear" w:color="auto" w:fill="FFFFFF"/>
        </w:rPr>
        <w:t xml:space="preserve"> </w:t>
      </w:r>
      <w:r w:rsidR="006F4202" w:rsidRPr="00F01A27">
        <w:rPr>
          <w:rFonts w:ascii="Sylfaen" w:hAnsi="Sylfaen" w:cs="Sylfaen"/>
          <w:szCs w:val="21"/>
          <w:shd w:val="clear" w:color="auto" w:fill="FFFFFF"/>
        </w:rPr>
        <w:t>მიღებულია</w:t>
      </w:r>
      <w:r w:rsidR="006F4202" w:rsidRPr="00F01A27">
        <w:rPr>
          <w:rFonts w:ascii="Sylfaen" w:hAnsi="Sylfaen"/>
          <w:szCs w:val="21"/>
          <w:shd w:val="clear" w:color="auto" w:fill="FFFFFF"/>
        </w:rPr>
        <w:t xml:space="preserve"> </w:t>
      </w:r>
      <w:r w:rsidR="006F4202" w:rsidRPr="00F01A27">
        <w:rPr>
          <w:rFonts w:ascii="Sylfaen" w:hAnsi="Sylfaen" w:cs="Sylfaen"/>
          <w:szCs w:val="21"/>
          <w:shd w:val="clear" w:color="auto" w:fill="FFFFFF"/>
        </w:rPr>
        <w:t>მრავალმხრივი</w:t>
      </w:r>
      <w:r w:rsidR="006F4202" w:rsidRPr="00F01A27">
        <w:rPr>
          <w:rFonts w:ascii="Sylfaen" w:hAnsi="Sylfaen"/>
          <w:szCs w:val="21"/>
          <w:shd w:val="clear" w:color="auto" w:fill="FFFFFF"/>
        </w:rPr>
        <w:t xml:space="preserve"> </w:t>
      </w:r>
      <w:r w:rsidR="006F4202" w:rsidRPr="00F01A27">
        <w:rPr>
          <w:rFonts w:ascii="Sylfaen" w:hAnsi="Sylfaen" w:cs="Sylfaen"/>
          <w:szCs w:val="21"/>
          <w:shd w:val="clear" w:color="auto" w:fill="FFFFFF"/>
        </w:rPr>
        <w:t>და</w:t>
      </w:r>
      <w:r w:rsidR="006F4202" w:rsidRPr="00F01A27">
        <w:rPr>
          <w:rFonts w:ascii="Sylfaen" w:hAnsi="Sylfaen"/>
          <w:szCs w:val="21"/>
          <w:shd w:val="clear" w:color="auto" w:fill="FFFFFF"/>
        </w:rPr>
        <w:t xml:space="preserve"> </w:t>
      </w:r>
      <w:r w:rsidR="006F4202" w:rsidRPr="00F01A27">
        <w:rPr>
          <w:rFonts w:ascii="Sylfaen" w:hAnsi="Sylfaen" w:cs="Sylfaen"/>
          <w:szCs w:val="21"/>
          <w:shd w:val="clear" w:color="auto" w:fill="FFFFFF"/>
        </w:rPr>
        <w:t>ორმხრივი</w:t>
      </w:r>
      <w:r w:rsidR="006F4202" w:rsidRPr="00F01A27">
        <w:rPr>
          <w:rFonts w:ascii="Sylfaen" w:hAnsi="Sylfaen"/>
          <w:szCs w:val="21"/>
          <w:shd w:val="clear" w:color="auto" w:fill="FFFFFF"/>
        </w:rPr>
        <w:t xml:space="preserve"> </w:t>
      </w:r>
      <w:r w:rsidR="006F4202" w:rsidRPr="004C0704">
        <w:rPr>
          <w:rFonts w:ascii="Sylfaen" w:hAnsi="Sylfaen" w:cs="Sylfaen"/>
          <w:szCs w:val="21"/>
          <w:shd w:val="clear" w:color="auto" w:fill="FFFFFF"/>
        </w:rPr>
        <w:t>დონორებისგან</w:t>
      </w:r>
      <w:r w:rsidR="006F4202" w:rsidRPr="004C0704">
        <w:rPr>
          <w:rFonts w:ascii="Sylfaen" w:hAnsi="Sylfaen" w:cs="Sylfaen"/>
          <w:szCs w:val="21"/>
          <w:shd w:val="clear" w:color="auto" w:fill="FFFFFF"/>
          <w:lang w:val="ka-GE"/>
        </w:rPr>
        <w:t>/პარტნიორებისგან ქვეყნისათვის პრიორიტეტული ინფრასტრუქტურული პროექტების დასაფინანსებლად</w:t>
      </w:r>
      <w:r w:rsidR="006F4202" w:rsidRPr="004C0704">
        <w:rPr>
          <w:rFonts w:ascii="Sylfaen" w:hAnsi="Sylfaen"/>
          <w:szCs w:val="21"/>
          <w:shd w:val="clear" w:color="auto" w:fill="FFFFFF"/>
        </w:rPr>
        <w:t xml:space="preserve">. </w:t>
      </w:r>
      <w:r w:rsidR="006F4202" w:rsidRPr="004C0704">
        <w:rPr>
          <w:rFonts w:ascii="Sylfaen" w:hAnsi="Sylfaen" w:cs="Sylfaen"/>
          <w:szCs w:val="21"/>
          <w:shd w:val="clear" w:color="auto" w:fill="FFFFFF"/>
        </w:rPr>
        <w:t>სახელმწიფო</w:t>
      </w:r>
      <w:r w:rsidR="006F4202" w:rsidRPr="004C0704">
        <w:rPr>
          <w:rFonts w:ascii="Sylfaen" w:hAnsi="Sylfaen"/>
          <w:szCs w:val="21"/>
          <w:shd w:val="clear" w:color="auto" w:fill="FFFFFF"/>
        </w:rPr>
        <w:t xml:space="preserve"> </w:t>
      </w:r>
      <w:r w:rsidR="006F4202" w:rsidRPr="004C0704">
        <w:rPr>
          <w:rFonts w:ascii="Sylfaen" w:hAnsi="Sylfaen" w:cs="Sylfaen"/>
          <w:szCs w:val="21"/>
          <w:shd w:val="clear" w:color="auto" w:fill="FFFFFF"/>
        </w:rPr>
        <w:t>საგარეო</w:t>
      </w:r>
      <w:r w:rsidR="006F4202" w:rsidRPr="004C0704">
        <w:rPr>
          <w:rFonts w:ascii="Sylfaen" w:hAnsi="Sylfaen"/>
          <w:szCs w:val="21"/>
          <w:shd w:val="clear" w:color="auto" w:fill="FFFFFF"/>
        </w:rPr>
        <w:t xml:space="preserve"> </w:t>
      </w:r>
      <w:r w:rsidR="006F4202" w:rsidRPr="004C0704">
        <w:rPr>
          <w:rFonts w:ascii="Sylfaen" w:hAnsi="Sylfaen" w:cs="Sylfaen"/>
          <w:szCs w:val="21"/>
          <w:shd w:val="clear" w:color="auto" w:fill="FFFFFF"/>
        </w:rPr>
        <w:t>ვალი</w:t>
      </w:r>
      <w:r w:rsidR="006F4202" w:rsidRPr="004C0704">
        <w:rPr>
          <w:rFonts w:ascii="Sylfaen" w:hAnsi="Sylfaen" w:cs="Sylfaen"/>
          <w:szCs w:val="21"/>
          <w:shd w:val="clear" w:color="auto" w:fill="FFFFFF"/>
          <w:lang w:val="ka-GE"/>
        </w:rPr>
        <w:t>ს პორტფელი შეღავათიანია და ძირითადად შედგება გრძელვადიანი სესხებისგან -</w:t>
      </w:r>
      <w:r w:rsidR="006F4202" w:rsidRPr="004C0704">
        <w:rPr>
          <w:rFonts w:ascii="Sylfaen" w:hAnsi="Sylfaen"/>
          <w:szCs w:val="21"/>
          <w:shd w:val="clear" w:color="auto" w:fill="FFFFFF"/>
        </w:rPr>
        <w:t xml:space="preserve"> </w:t>
      </w:r>
      <w:r w:rsidR="006F4202" w:rsidRPr="004C0704">
        <w:rPr>
          <w:rFonts w:ascii="Sylfaen" w:hAnsi="Sylfaen"/>
          <w:szCs w:val="21"/>
          <w:shd w:val="clear" w:color="auto" w:fill="FFFFFF"/>
          <w:lang w:val="ka-GE"/>
        </w:rPr>
        <w:t xml:space="preserve">პორტფელის </w:t>
      </w:r>
      <w:r w:rsidR="00071A4F" w:rsidRPr="004C0704">
        <w:rPr>
          <w:rFonts w:ascii="Sylfaen" w:hAnsi="Sylfaen"/>
          <w:szCs w:val="21"/>
          <w:shd w:val="clear" w:color="auto" w:fill="FFFFFF"/>
          <w:lang w:val="ka-GE"/>
        </w:rPr>
        <w:t xml:space="preserve">საშუალო შეწონილი </w:t>
      </w:r>
      <w:r w:rsidR="006F4202" w:rsidRPr="004C0704">
        <w:rPr>
          <w:rFonts w:ascii="Sylfaen" w:hAnsi="Sylfaen"/>
          <w:szCs w:val="21"/>
          <w:shd w:val="clear" w:color="auto" w:fill="FFFFFF"/>
        </w:rPr>
        <w:t xml:space="preserve">საკონტრაქტო ვადიანობა შეადგენს </w:t>
      </w:r>
      <w:r w:rsidR="002A3C73" w:rsidRPr="009515B0">
        <w:rPr>
          <w:rFonts w:ascii="Sylfaen" w:hAnsi="Sylfaen"/>
          <w:szCs w:val="21"/>
          <w:shd w:val="clear" w:color="auto" w:fill="FFFFFF"/>
          <w:lang w:val="ka-GE"/>
        </w:rPr>
        <w:t>2</w:t>
      </w:r>
      <w:r w:rsidR="006B1B1E">
        <w:rPr>
          <w:rFonts w:ascii="Sylfaen" w:hAnsi="Sylfaen"/>
          <w:szCs w:val="21"/>
          <w:shd w:val="clear" w:color="auto" w:fill="FFFFFF"/>
        </w:rPr>
        <w:t>2</w:t>
      </w:r>
      <w:r w:rsidR="002A3C73" w:rsidRPr="009515B0">
        <w:rPr>
          <w:rFonts w:ascii="Sylfaen" w:hAnsi="Sylfaen"/>
          <w:szCs w:val="21"/>
          <w:shd w:val="clear" w:color="auto" w:fill="FFFFFF"/>
          <w:lang w:val="ka-GE"/>
        </w:rPr>
        <w:t>.</w:t>
      </w:r>
      <w:r w:rsidR="00311D8A">
        <w:rPr>
          <w:rFonts w:ascii="Sylfaen" w:hAnsi="Sylfaen"/>
          <w:szCs w:val="21"/>
          <w:shd w:val="clear" w:color="auto" w:fill="FFFFFF"/>
        </w:rPr>
        <w:t>2</w:t>
      </w:r>
      <w:r w:rsidR="00C126E1" w:rsidRPr="009515B0">
        <w:rPr>
          <w:rFonts w:ascii="Sylfaen" w:hAnsi="Sylfaen"/>
          <w:szCs w:val="21"/>
          <w:shd w:val="clear" w:color="auto" w:fill="FFFFFF"/>
        </w:rPr>
        <w:t xml:space="preserve"> </w:t>
      </w:r>
      <w:r w:rsidR="006F4202" w:rsidRPr="009515B0">
        <w:rPr>
          <w:rFonts w:ascii="Sylfaen" w:hAnsi="Sylfaen"/>
          <w:szCs w:val="21"/>
          <w:shd w:val="clear" w:color="auto" w:fill="FFFFFF"/>
        </w:rPr>
        <w:t>წელს</w:t>
      </w:r>
      <w:r w:rsidR="006F4202" w:rsidRPr="009515B0">
        <w:rPr>
          <w:rFonts w:ascii="Sylfaen" w:hAnsi="Sylfaen"/>
          <w:szCs w:val="21"/>
          <w:shd w:val="clear" w:color="auto" w:fill="FFFFFF"/>
          <w:lang w:val="ka-GE"/>
        </w:rPr>
        <w:t>,</w:t>
      </w:r>
      <w:r w:rsidR="006F4202" w:rsidRPr="004C0704">
        <w:rPr>
          <w:rFonts w:ascii="Sylfaen" w:hAnsi="Sylfaen"/>
          <w:szCs w:val="21"/>
          <w:shd w:val="clear" w:color="auto" w:fill="FFFFFF"/>
          <w:lang w:val="ka-GE"/>
        </w:rPr>
        <w:t xml:space="preserve"> საშუალო შეწონილი ვადიანობა </w:t>
      </w:r>
      <w:r w:rsidR="00071A4F" w:rsidRPr="004C0704">
        <w:rPr>
          <w:rFonts w:ascii="Sylfaen" w:hAnsi="Sylfaen"/>
          <w:szCs w:val="21"/>
          <w:shd w:val="clear" w:color="auto" w:fill="FFFFFF"/>
          <w:lang w:val="ka-GE"/>
        </w:rPr>
        <w:t xml:space="preserve">დაფარვამდე </w:t>
      </w:r>
      <w:r w:rsidR="006F4202" w:rsidRPr="004C0704">
        <w:rPr>
          <w:rFonts w:ascii="Sylfaen" w:hAnsi="Sylfaen"/>
          <w:szCs w:val="21"/>
          <w:shd w:val="clear" w:color="auto" w:fill="FFFFFF"/>
          <w:lang w:val="ka-GE"/>
        </w:rPr>
        <w:t xml:space="preserve">შეადგენს </w:t>
      </w:r>
      <w:r w:rsidR="006F4202" w:rsidRPr="00270C72">
        <w:rPr>
          <w:rFonts w:ascii="Sylfaen" w:hAnsi="Sylfaen"/>
          <w:szCs w:val="21"/>
          <w:shd w:val="clear" w:color="auto" w:fill="FFFFFF"/>
          <w:lang w:val="ka-GE"/>
        </w:rPr>
        <w:t xml:space="preserve">დაახლოებით </w:t>
      </w:r>
      <w:r w:rsidR="00DE4001" w:rsidRPr="00270C72">
        <w:rPr>
          <w:rFonts w:ascii="Sylfaen" w:hAnsi="Sylfaen"/>
          <w:szCs w:val="21"/>
          <w:shd w:val="clear" w:color="auto" w:fill="FFFFFF"/>
        </w:rPr>
        <w:t xml:space="preserve"> </w:t>
      </w:r>
      <w:r w:rsidR="00E17E10" w:rsidRPr="00270C72">
        <w:rPr>
          <w:rFonts w:ascii="Sylfaen" w:hAnsi="Sylfaen"/>
          <w:szCs w:val="21"/>
          <w:shd w:val="clear" w:color="auto" w:fill="FFFFFF"/>
          <w:lang w:val="ka-GE"/>
        </w:rPr>
        <w:t>8</w:t>
      </w:r>
      <w:r w:rsidR="004F2321" w:rsidRPr="00270C72">
        <w:rPr>
          <w:rFonts w:ascii="Sylfaen" w:hAnsi="Sylfaen"/>
          <w:szCs w:val="21"/>
          <w:shd w:val="clear" w:color="auto" w:fill="FFFFFF"/>
        </w:rPr>
        <w:t>.</w:t>
      </w:r>
      <w:r w:rsidR="00311D8A">
        <w:rPr>
          <w:rFonts w:ascii="Sylfaen" w:hAnsi="Sylfaen"/>
          <w:szCs w:val="21"/>
          <w:shd w:val="clear" w:color="auto" w:fill="FFFFFF"/>
        </w:rPr>
        <w:t>3</w:t>
      </w:r>
      <w:r w:rsidR="00C126E1" w:rsidRPr="004C0704">
        <w:rPr>
          <w:rFonts w:ascii="Sylfaen" w:hAnsi="Sylfaen"/>
          <w:szCs w:val="21"/>
          <w:shd w:val="clear" w:color="auto" w:fill="FFFFFF"/>
          <w:lang w:val="ka-GE"/>
        </w:rPr>
        <w:t xml:space="preserve"> </w:t>
      </w:r>
      <w:r w:rsidR="006F4202" w:rsidRPr="004C0704">
        <w:rPr>
          <w:rFonts w:ascii="Sylfaen" w:hAnsi="Sylfaen"/>
          <w:szCs w:val="21"/>
          <w:shd w:val="clear" w:color="auto" w:fill="FFFFFF"/>
          <w:lang w:val="ka-GE"/>
        </w:rPr>
        <w:t xml:space="preserve">წელს, ხოლო </w:t>
      </w:r>
      <w:r w:rsidR="006F4202" w:rsidRPr="004C0704">
        <w:rPr>
          <w:rFonts w:ascii="Sylfaen" w:hAnsi="Sylfaen" w:cs="Sylfaen"/>
          <w:szCs w:val="21"/>
          <w:shd w:val="clear" w:color="auto" w:fill="FFFFFF"/>
          <w:lang w:val="ka-GE"/>
        </w:rPr>
        <w:t xml:space="preserve">სახელმწიფო საგარეო ვალის საშუალო შეწონილი საპროცენტო განაკვეთი შეადგენს </w:t>
      </w:r>
      <w:r w:rsidR="00CB36D7" w:rsidRPr="004C0704">
        <w:rPr>
          <w:rFonts w:ascii="Sylfaen" w:hAnsi="Sylfaen" w:cs="Sylfaen"/>
          <w:szCs w:val="21"/>
          <w:shd w:val="clear" w:color="auto" w:fill="FFFFFF"/>
          <w:lang w:val="ka-GE"/>
        </w:rPr>
        <w:t>2.</w:t>
      </w:r>
      <w:r w:rsidR="00D46022">
        <w:rPr>
          <w:rFonts w:ascii="Sylfaen" w:hAnsi="Sylfaen" w:cs="Sylfaen"/>
          <w:szCs w:val="21"/>
          <w:shd w:val="clear" w:color="auto" w:fill="FFFFFF"/>
        </w:rPr>
        <w:t>2</w:t>
      </w:r>
      <w:r w:rsidR="00311D8A">
        <w:rPr>
          <w:rFonts w:ascii="Sylfaen" w:hAnsi="Sylfaen" w:cs="Sylfaen"/>
          <w:szCs w:val="21"/>
          <w:shd w:val="clear" w:color="auto" w:fill="FFFFFF"/>
          <w:lang w:val="ka-GE"/>
        </w:rPr>
        <w:t>0</w:t>
      </w:r>
      <w:r w:rsidR="006F4202" w:rsidRPr="004C0704">
        <w:rPr>
          <w:rFonts w:ascii="Sylfaen" w:hAnsi="Sylfaen" w:cs="Sylfaen"/>
          <w:szCs w:val="21"/>
          <w:shd w:val="clear" w:color="auto" w:fill="FFFFFF"/>
          <w:lang w:val="ka-GE"/>
        </w:rPr>
        <w:t>%-ს.</w:t>
      </w:r>
    </w:p>
    <w:p w:rsidR="00B57E95" w:rsidRPr="004C0704" w:rsidRDefault="00B57E95" w:rsidP="00D62E87">
      <w:pPr>
        <w:spacing w:line="240" w:lineRule="auto"/>
        <w:ind w:firstLine="720"/>
        <w:jc w:val="both"/>
        <w:rPr>
          <w:rFonts w:ascii="Calibri" w:eastAsia="Times New Roman" w:hAnsi="Calibri" w:cs="Times New Roman"/>
          <w:b/>
          <w:bCs/>
          <w:i/>
          <w:iCs/>
          <w:color w:val="C00000"/>
          <w:sz w:val="28"/>
          <w:szCs w:val="28"/>
        </w:rPr>
      </w:pPr>
    </w:p>
    <w:p w:rsidR="006F4202" w:rsidRPr="004C0704" w:rsidRDefault="006F4202" w:rsidP="00D62E87">
      <w:pPr>
        <w:tabs>
          <w:tab w:val="left" w:pos="720"/>
        </w:tabs>
        <w:spacing w:after="0" w:line="240" w:lineRule="auto"/>
        <w:jc w:val="center"/>
        <w:rPr>
          <w:rFonts w:ascii="Sylfaen" w:hAnsi="Sylfaen" w:cs="Sylfaen"/>
          <w:b/>
          <w:szCs w:val="18"/>
          <w:shd w:val="clear" w:color="auto" w:fill="FFFFFF"/>
          <w:lang w:val="ka-GE"/>
        </w:rPr>
      </w:pPr>
      <w:r w:rsidRPr="004C0704">
        <w:rPr>
          <w:rFonts w:ascii="Sylfaen" w:hAnsi="Sylfaen" w:cs="Sylfaen"/>
          <w:b/>
          <w:szCs w:val="18"/>
          <w:shd w:val="clear" w:color="auto" w:fill="FFFFFF"/>
          <w:lang w:val="ka-GE"/>
        </w:rPr>
        <w:t>სახელ</w:t>
      </w:r>
      <w:r w:rsidR="0078542F" w:rsidRPr="004C0704">
        <w:rPr>
          <w:rFonts w:ascii="Sylfaen" w:hAnsi="Sylfaen" w:cs="Sylfaen"/>
          <w:b/>
          <w:szCs w:val="18"/>
          <w:shd w:val="clear" w:color="auto" w:fill="FFFFFF"/>
          <w:lang w:val="ka-GE"/>
        </w:rPr>
        <w:t>მ</w:t>
      </w:r>
      <w:r w:rsidRPr="004C0704">
        <w:rPr>
          <w:rFonts w:ascii="Sylfaen" w:hAnsi="Sylfaen" w:cs="Sylfaen"/>
          <w:b/>
          <w:szCs w:val="18"/>
          <w:shd w:val="clear" w:color="auto" w:fill="FFFFFF"/>
          <w:lang w:val="ka-GE"/>
        </w:rPr>
        <w:t xml:space="preserve">წიფო ვალის სტრუქტურა </w:t>
      </w:r>
      <w:r w:rsidR="008D1F2B" w:rsidRPr="004C0704">
        <w:rPr>
          <w:rFonts w:ascii="Sylfaen" w:hAnsi="Sylfaen"/>
          <w:b/>
          <w:szCs w:val="18"/>
          <w:shd w:val="clear" w:color="auto" w:fill="FFFFFF"/>
          <w:lang w:val="ka-GE"/>
        </w:rPr>
        <w:t>201</w:t>
      </w:r>
      <w:r w:rsidR="00EB0EE9">
        <w:rPr>
          <w:rFonts w:ascii="Sylfaen" w:hAnsi="Sylfaen"/>
          <w:b/>
          <w:szCs w:val="18"/>
          <w:shd w:val="clear" w:color="auto" w:fill="FFFFFF"/>
          <w:lang w:val="ka-GE"/>
        </w:rPr>
        <w:t>8</w:t>
      </w:r>
      <w:r w:rsidR="008D1F2B" w:rsidRPr="004C0704">
        <w:rPr>
          <w:rFonts w:ascii="Sylfaen" w:hAnsi="Sylfaen"/>
          <w:b/>
          <w:szCs w:val="18"/>
          <w:shd w:val="clear" w:color="auto" w:fill="FFFFFF"/>
          <w:lang w:val="ka-GE"/>
        </w:rPr>
        <w:t xml:space="preserve"> </w:t>
      </w:r>
      <w:r w:rsidR="00CB36D7" w:rsidRPr="00EB0EE9">
        <w:rPr>
          <w:rFonts w:ascii="Sylfaen" w:hAnsi="Sylfaen" w:cs="Sylfaen"/>
          <w:b/>
          <w:szCs w:val="18"/>
          <w:shd w:val="clear" w:color="auto" w:fill="FFFFFF"/>
          <w:lang w:val="ka-GE"/>
        </w:rPr>
        <w:t xml:space="preserve">წლის </w:t>
      </w:r>
      <w:r w:rsidR="00EB0EE9" w:rsidRPr="00EB0EE9">
        <w:rPr>
          <w:rFonts w:ascii="Sylfaen" w:hAnsi="Sylfaen" w:cs="Sylfaen"/>
          <w:b/>
          <w:szCs w:val="18"/>
          <w:shd w:val="clear" w:color="auto" w:fill="FFFFFF"/>
          <w:lang w:val="ka-GE"/>
        </w:rPr>
        <w:t>3</w:t>
      </w:r>
      <w:r w:rsidR="00311D8A">
        <w:rPr>
          <w:rFonts w:ascii="Sylfaen" w:hAnsi="Sylfaen" w:cs="Sylfaen"/>
          <w:b/>
          <w:szCs w:val="18"/>
          <w:shd w:val="clear" w:color="auto" w:fill="FFFFFF"/>
          <w:lang w:val="ka-GE"/>
        </w:rPr>
        <w:t>1</w:t>
      </w:r>
      <w:r w:rsidR="00EB0EE9" w:rsidRPr="00EB0EE9">
        <w:rPr>
          <w:rFonts w:ascii="Sylfaen" w:hAnsi="Sylfaen" w:cs="Sylfaen"/>
          <w:b/>
          <w:szCs w:val="18"/>
          <w:shd w:val="clear" w:color="auto" w:fill="FFFFFF"/>
          <w:lang w:val="ka-GE"/>
        </w:rPr>
        <w:t xml:space="preserve"> </w:t>
      </w:r>
      <w:r w:rsidR="00311D8A">
        <w:rPr>
          <w:rFonts w:ascii="Sylfaen" w:hAnsi="Sylfaen" w:cs="Sylfaen"/>
          <w:b/>
          <w:szCs w:val="18"/>
          <w:shd w:val="clear" w:color="auto" w:fill="FFFFFF"/>
          <w:lang w:val="ka-GE"/>
        </w:rPr>
        <w:t>დეკემბრის</w:t>
      </w:r>
      <w:r w:rsidR="00EB0EE9">
        <w:rPr>
          <w:rFonts w:ascii="Sylfaen" w:hAnsi="Sylfaen" w:cs="Sylfaen"/>
          <w:b/>
          <w:szCs w:val="18"/>
          <w:shd w:val="clear" w:color="auto" w:fill="FFFFFF"/>
          <w:lang w:val="ka-GE"/>
        </w:rPr>
        <w:t xml:space="preserve"> </w:t>
      </w:r>
      <w:r w:rsidRPr="00EB0EE9">
        <w:rPr>
          <w:rFonts w:ascii="Sylfaen" w:hAnsi="Sylfaen" w:cs="Sylfaen"/>
          <w:b/>
          <w:szCs w:val="18"/>
          <w:shd w:val="clear" w:color="auto" w:fill="FFFFFF"/>
          <w:lang w:val="ka-GE"/>
        </w:rPr>
        <w:t>მდგომარეობით</w:t>
      </w:r>
    </w:p>
    <w:p w:rsidR="003C2AE8" w:rsidRPr="0057502A" w:rsidRDefault="00CC1535" w:rsidP="00D62E87">
      <w:pPr>
        <w:spacing w:line="240" w:lineRule="auto"/>
        <w:jc w:val="both"/>
        <w:rPr>
          <w:rFonts w:ascii="Sylfaen" w:hAnsi="Sylfaen"/>
          <w:lang w:val="ka-GE"/>
        </w:rPr>
      </w:pPr>
      <w:r w:rsidRPr="004C0704">
        <w:rPr>
          <w:rFonts w:ascii="Sylfaen" w:hAnsi="Sylfaen"/>
          <w:noProof/>
          <w:color w:val="8064A2" w:themeColor="accent4"/>
        </w:rPr>
        <mc:AlternateContent>
          <mc:Choice Requires="wpg">
            <w:drawing>
              <wp:anchor distT="0" distB="0" distL="114300" distR="114300" simplePos="0" relativeHeight="251661312" behindDoc="0" locked="0" layoutInCell="1" allowOverlap="1" wp14:anchorId="0D3D7B64" wp14:editId="0AB36E18">
                <wp:simplePos x="0" y="0"/>
                <wp:positionH relativeFrom="column">
                  <wp:posOffset>4060743</wp:posOffset>
                </wp:positionH>
                <wp:positionV relativeFrom="paragraph">
                  <wp:posOffset>701040</wp:posOffset>
                </wp:positionV>
                <wp:extent cx="2620027" cy="626745"/>
                <wp:effectExtent l="0" t="0" r="0" b="0"/>
                <wp:wrapNone/>
                <wp:docPr id="6" name="Group 6"/>
                <wp:cNvGraphicFramePr/>
                <a:graphic xmlns:a="http://schemas.openxmlformats.org/drawingml/2006/main">
                  <a:graphicData uri="http://schemas.microsoft.com/office/word/2010/wordprocessingGroup">
                    <wpg:wgp>
                      <wpg:cNvGrpSpPr/>
                      <wpg:grpSpPr>
                        <a:xfrm>
                          <a:off x="0" y="0"/>
                          <a:ext cx="2620027" cy="626745"/>
                          <a:chOff x="-2" y="0"/>
                          <a:chExt cx="2620027" cy="626745"/>
                        </a:xfrm>
                      </wpg:grpSpPr>
                      <wps:wsp>
                        <wps:cNvPr id="26" name="TextBox 25"/>
                        <wps:cNvSpPr txBox="1"/>
                        <wps:spPr>
                          <a:xfrm>
                            <a:off x="198770" y="0"/>
                            <a:ext cx="2421255" cy="626745"/>
                          </a:xfrm>
                          <a:prstGeom prst="rect">
                            <a:avLst/>
                          </a:prstGeom>
                          <a:noFill/>
                        </wps:spPr>
                        <wps:txbx>
                          <w:txbxContent>
                            <w:p w:rsidR="008079A6" w:rsidRPr="004C0704" w:rsidRDefault="008079A6" w:rsidP="0071317C">
                              <w:pPr>
                                <w:pStyle w:val="NormalWeb"/>
                                <w:spacing w:before="0" w:beforeAutospacing="0" w:after="0" w:afterAutospacing="0"/>
                                <w:rPr>
                                  <w:rFonts w:ascii="Sylfaen" w:hAnsi="Sylfaen"/>
                                  <w:sz w:val="16"/>
                                  <w:szCs w:val="16"/>
                                </w:rPr>
                              </w:pPr>
                              <w:r w:rsidRPr="00DE4001">
                                <w:rPr>
                                  <w:rFonts w:ascii="Sylfaen" w:hAnsi="Sylfaen" w:cstheme="minorBidi"/>
                                  <w:color w:val="000000" w:themeColor="text1"/>
                                  <w:kern w:val="24"/>
                                  <w:sz w:val="16"/>
                                  <w:szCs w:val="16"/>
                                  <w:lang w:val="ka-GE"/>
                                </w:rPr>
                                <w:t xml:space="preserve">  </w:t>
                              </w:r>
                              <w:r w:rsidRPr="004C0704">
                                <w:rPr>
                                  <w:rFonts w:ascii="Sylfaen" w:hAnsi="Sylfaen" w:cstheme="minorBidi"/>
                                  <w:color w:val="000000" w:themeColor="text1"/>
                                  <w:kern w:val="24"/>
                                  <w:sz w:val="16"/>
                                  <w:szCs w:val="16"/>
                                  <w:lang w:val="ka-GE"/>
                                </w:rPr>
                                <w:t>საშუალო შეწონილი</w:t>
                              </w:r>
                              <w:r w:rsidRPr="004C0704">
                                <w:rPr>
                                  <w:rFonts w:ascii="Sylfaen" w:hAnsi="Sylfaen" w:cstheme="minorBidi"/>
                                  <w:color w:val="000000" w:themeColor="text1"/>
                                  <w:kern w:val="24"/>
                                  <w:sz w:val="16"/>
                                  <w:szCs w:val="16"/>
                                </w:rPr>
                                <w:t xml:space="preserve">: </w:t>
                              </w:r>
                            </w:p>
                            <w:p w:rsidR="008079A6" w:rsidRPr="004C0704" w:rsidRDefault="008079A6" w:rsidP="0071317C">
                              <w:pPr>
                                <w:pStyle w:val="NormalWeb"/>
                                <w:spacing w:before="0" w:beforeAutospacing="0" w:after="0" w:afterAutospacing="0"/>
                                <w:rPr>
                                  <w:rFonts w:ascii="Sylfaen" w:hAnsi="Sylfaen"/>
                                  <w:sz w:val="16"/>
                                  <w:szCs w:val="16"/>
                                </w:rPr>
                              </w:pPr>
                              <w:r w:rsidRPr="004C0704">
                                <w:rPr>
                                  <w:rFonts w:ascii="Sylfaen" w:hAnsi="Sylfaen" w:cstheme="minorBidi"/>
                                  <w:color w:val="000000" w:themeColor="text1"/>
                                  <w:kern w:val="24"/>
                                  <w:sz w:val="16"/>
                                  <w:szCs w:val="16"/>
                                </w:rPr>
                                <w:t xml:space="preserve">- </w:t>
                              </w:r>
                              <w:proofErr w:type="gramStart"/>
                              <w:r w:rsidRPr="004C0704">
                                <w:rPr>
                                  <w:rFonts w:ascii="Sylfaen" w:hAnsi="Sylfaen" w:cstheme="minorBidi"/>
                                  <w:color w:val="000000" w:themeColor="text1"/>
                                  <w:kern w:val="24"/>
                                  <w:sz w:val="16"/>
                                  <w:szCs w:val="16"/>
                                  <w:lang w:val="ka-GE"/>
                                </w:rPr>
                                <w:t>საპროცენტო</w:t>
                              </w:r>
                              <w:proofErr w:type="gramEnd"/>
                              <w:r w:rsidRPr="004C0704">
                                <w:rPr>
                                  <w:rFonts w:ascii="Sylfaen" w:hAnsi="Sylfaen" w:cstheme="minorBidi"/>
                                  <w:color w:val="000000" w:themeColor="text1"/>
                                  <w:kern w:val="24"/>
                                  <w:sz w:val="16"/>
                                  <w:szCs w:val="16"/>
                                  <w:lang w:val="ka-GE"/>
                                </w:rPr>
                                <w:t xml:space="preserve"> განაკვეთი</w:t>
                              </w:r>
                              <w:r w:rsidRPr="004C0704">
                                <w:rPr>
                                  <w:rFonts w:ascii="Sylfaen" w:hAnsi="Sylfaen" w:cstheme="minorBidi"/>
                                  <w:color w:val="000000" w:themeColor="text1"/>
                                  <w:kern w:val="24"/>
                                  <w:sz w:val="16"/>
                                  <w:szCs w:val="16"/>
                                </w:rPr>
                                <w:t xml:space="preserve"> </w:t>
                              </w:r>
                              <w:r w:rsidRPr="004C0704">
                                <w:rPr>
                                  <w:rFonts w:ascii="Sylfaen" w:hAnsi="Sylfaen" w:cstheme="minorBidi"/>
                                  <w:b/>
                                  <w:bCs/>
                                  <w:color w:val="C00000"/>
                                  <w:kern w:val="24"/>
                                  <w:sz w:val="16"/>
                                  <w:szCs w:val="16"/>
                                </w:rPr>
                                <w:t>2.</w:t>
                              </w:r>
                              <w:r>
                                <w:rPr>
                                  <w:rFonts w:ascii="Sylfaen" w:hAnsi="Sylfaen" w:cstheme="minorBidi"/>
                                  <w:b/>
                                  <w:bCs/>
                                  <w:color w:val="C00000"/>
                                  <w:kern w:val="24"/>
                                  <w:sz w:val="16"/>
                                  <w:szCs w:val="16"/>
                                  <w:lang w:val="ka-GE"/>
                                </w:rPr>
                                <w:t>20</w:t>
                              </w:r>
                              <w:r w:rsidRPr="004C0704">
                                <w:rPr>
                                  <w:rFonts w:ascii="Sylfaen" w:hAnsi="Sylfaen" w:cstheme="minorBidi"/>
                                  <w:b/>
                                  <w:bCs/>
                                  <w:color w:val="C00000"/>
                                  <w:kern w:val="24"/>
                                  <w:sz w:val="16"/>
                                  <w:szCs w:val="16"/>
                                </w:rPr>
                                <w:t>%</w:t>
                              </w:r>
                            </w:p>
                            <w:p w:rsidR="008079A6" w:rsidRPr="004C0704" w:rsidRDefault="008079A6" w:rsidP="0071317C">
                              <w:pPr>
                                <w:pStyle w:val="NormalWeb"/>
                                <w:spacing w:before="0" w:beforeAutospacing="0" w:after="0" w:afterAutospacing="0"/>
                                <w:rPr>
                                  <w:rFonts w:ascii="Sylfaen" w:hAnsi="Sylfaen" w:cstheme="minorBidi"/>
                                  <w:b/>
                                  <w:bCs/>
                                  <w:color w:val="C00000"/>
                                  <w:kern w:val="24"/>
                                  <w:sz w:val="16"/>
                                  <w:szCs w:val="16"/>
                                  <w:lang w:val="ka-GE"/>
                                </w:rPr>
                              </w:pPr>
                              <w:r w:rsidRPr="004C0704">
                                <w:rPr>
                                  <w:rFonts w:ascii="Sylfaen" w:hAnsi="Sylfaen" w:cstheme="minorBidi"/>
                                  <w:color w:val="000000" w:themeColor="text1"/>
                                  <w:kern w:val="24"/>
                                  <w:sz w:val="16"/>
                                  <w:szCs w:val="16"/>
                                </w:rPr>
                                <w:t xml:space="preserve">- </w:t>
                              </w:r>
                              <w:proofErr w:type="gramStart"/>
                              <w:r w:rsidRPr="004C0704">
                                <w:rPr>
                                  <w:rFonts w:ascii="Sylfaen" w:hAnsi="Sylfaen" w:cstheme="minorBidi"/>
                                  <w:color w:val="000000" w:themeColor="text1"/>
                                  <w:kern w:val="24"/>
                                  <w:sz w:val="16"/>
                                  <w:szCs w:val="16"/>
                                  <w:lang w:val="ka-GE"/>
                                </w:rPr>
                                <w:t>საკონტრაქტო</w:t>
                              </w:r>
                              <w:proofErr w:type="gramEnd"/>
                              <w:r w:rsidRPr="004C0704">
                                <w:rPr>
                                  <w:rFonts w:ascii="Sylfaen" w:hAnsi="Sylfaen" w:cstheme="minorBidi"/>
                                  <w:color w:val="000000" w:themeColor="text1"/>
                                  <w:kern w:val="24"/>
                                  <w:sz w:val="16"/>
                                  <w:szCs w:val="16"/>
                                  <w:lang w:val="ka-GE"/>
                                </w:rPr>
                                <w:t xml:space="preserve"> ვადიანობა</w:t>
                              </w:r>
                              <w:r w:rsidRPr="004C0704">
                                <w:rPr>
                                  <w:rFonts w:ascii="Sylfaen" w:hAnsi="Sylfaen" w:cstheme="minorBidi"/>
                                  <w:color w:val="000000" w:themeColor="text1"/>
                                  <w:kern w:val="24"/>
                                  <w:sz w:val="16"/>
                                  <w:szCs w:val="16"/>
                                </w:rPr>
                                <w:t xml:space="preserve"> </w:t>
                              </w:r>
                              <w:r w:rsidRPr="004C0704">
                                <w:rPr>
                                  <w:rFonts w:ascii="Sylfaen" w:hAnsi="Sylfaen" w:cstheme="minorBidi"/>
                                  <w:b/>
                                  <w:bCs/>
                                  <w:color w:val="C00000"/>
                                  <w:kern w:val="24"/>
                                  <w:sz w:val="16"/>
                                  <w:szCs w:val="16"/>
                                </w:rPr>
                                <w:t>2</w:t>
                              </w:r>
                              <w:r>
                                <w:rPr>
                                  <w:rFonts w:ascii="Sylfaen" w:hAnsi="Sylfaen" w:cstheme="minorBidi"/>
                                  <w:b/>
                                  <w:bCs/>
                                  <w:color w:val="C00000"/>
                                  <w:kern w:val="24"/>
                                  <w:sz w:val="16"/>
                                  <w:szCs w:val="16"/>
                                  <w:lang w:val="ka-GE"/>
                                </w:rPr>
                                <w:t>2</w:t>
                              </w:r>
                              <w:r w:rsidRPr="004C0704">
                                <w:rPr>
                                  <w:rFonts w:ascii="Sylfaen" w:hAnsi="Sylfaen" w:cstheme="minorBidi"/>
                                  <w:b/>
                                  <w:bCs/>
                                  <w:color w:val="C00000"/>
                                  <w:kern w:val="24"/>
                                  <w:sz w:val="16"/>
                                  <w:szCs w:val="16"/>
                                  <w:lang w:val="ka-GE"/>
                                </w:rPr>
                                <w:t>.</w:t>
                              </w:r>
                              <w:r>
                                <w:rPr>
                                  <w:rFonts w:ascii="Sylfaen" w:hAnsi="Sylfaen" w:cstheme="minorBidi"/>
                                  <w:b/>
                                  <w:bCs/>
                                  <w:color w:val="C00000"/>
                                  <w:kern w:val="24"/>
                                  <w:sz w:val="16"/>
                                  <w:szCs w:val="16"/>
                                  <w:lang w:val="ka-GE"/>
                                </w:rPr>
                                <w:t>2</w:t>
                              </w:r>
                              <w:r w:rsidRPr="004C0704">
                                <w:rPr>
                                  <w:rFonts w:ascii="Sylfaen" w:hAnsi="Sylfaen" w:cstheme="minorBidi"/>
                                  <w:b/>
                                  <w:bCs/>
                                  <w:color w:val="C00000"/>
                                  <w:kern w:val="24"/>
                                  <w:sz w:val="16"/>
                                  <w:szCs w:val="16"/>
                                  <w:lang w:val="ka-GE"/>
                                </w:rPr>
                                <w:t xml:space="preserve"> წელი</w:t>
                              </w:r>
                            </w:p>
                            <w:p w:rsidR="008079A6" w:rsidRPr="00DE4001" w:rsidRDefault="008079A6" w:rsidP="0071317C">
                              <w:pPr>
                                <w:pStyle w:val="NormalWeb"/>
                                <w:spacing w:before="0" w:beforeAutospacing="0" w:after="0" w:afterAutospacing="0"/>
                                <w:rPr>
                                  <w:rFonts w:ascii="Sylfaen" w:hAnsi="Sylfaen"/>
                                  <w:sz w:val="16"/>
                                  <w:szCs w:val="16"/>
                                  <w:lang w:val="ka-GE"/>
                                </w:rPr>
                              </w:pPr>
                              <w:r w:rsidRPr="004C0704">
                                <w:rPr>
                                  <w:rFonts w:ascii="Sylfaen" w:hAnsi="Sylfaen" w:cstheme="minorBidi"/>
                                  <w:bCs/>
                                  <w:kern w:val="24"/>
                                  <w:sz w:val="16"/>
                                  <w:szCs w:val="16"/>
                                  <w:lang w:val="ka-GE"/>
                                </w:rPr>
                                <w:t xml:space="preserve">- დარჩენილი </w:t>
                              </w:r>
                              <w:r w:rsidRPr="00270C72">
                                <w:rPr>
                                  <w:rFonts w:ascii="Sylfaen" w:hAnsi="Sylfaen" w:cstheme="minorBidi"/>
                                  <w:bCs/>
                                  <w:kern w:val="24"/>
                                  <w:sz w:val="16"/>
                                  <w:szCs w:val="16"/>
                                  <w:lang w:val="ka-GE"/>
                                </w:rPr>
                                <w:t>ვადიანობა</w:t>
                              </w:r>
                              <w:r w:rsidRPr="00270C72">
                                <w:rPr>
                                  <w:rFonts w:ascii="Sylfaen" w:hAnsi="Sylfaen" w:cstheme="minorBidi"/>
                                  <w:b/>
                                  <w:bCs/>
                                  <w:kern w:val="24"/>
                                  <w:sz w:val="16"/>
                                  <w:szCs w:val="16"/>
                                </w:rPr>
                                <w:t xml:space="preserve"> </w:t>
                              </w:r>
                              <w:r w:rsidRPr="00270C72">
                                <w:rPr>
                                  <w:rFonts w:ascii="Sylfaen" w:hAnsi="Sylfaen" w:cstheme="minorBidi"/>
                                  <w:b/>
                                  <w:bCs/>
                                  <w:color w:val="C00000"/>
                                  <w:kern w:val="24"/>
                                  <w:sz w:val="16"/>
                                  <w:szCs w:val="16"/>
                                  <w:lang w:val="ka-GE"/>
                                </w:rPr>
                                <w:t>8.</w:t>
                              </w:r>
                              <w:r>
                                <w:rPr>
                                  <w:rFonts w:ascii="Sylfaen" w:hAnsi="Sylfaen" w:cstheme="minorBidi"/>
                                  <w:b/>
                                  <w:bCs/>
                                  <w:color w:val="C00000"/>
                                  <w:kern w:val="24"/>
                                  <w:sz w:val="16"/>
                                  <w:szCs w:val="16"/>
                                  <w:lang w:val="ka-GE"/>
                                </w:rPr>
                                <w:t>3</w:t>
                              </w:r>
                              <w:r w:rsidRPr="004C0704">
                                <w:rPr>
                                  <w:rFonts w:ascii="Sylfaen" w:hAnsi="Sylfaen" w:cstheme="minorBidi"/>
                                  <w:b/>
                                  <w:bCs/>
                                  <w:color w:val="C00000"/>
                                  <w:kern w:val="24"/>
                                  <w:sz w:val="16"/>
                                  <w:szCs w:val="16"/>
                                  <w:lang w:val="ka-GE"/>
                                </w:rPr>
                                <w:t xml:space="preserve"> წელი</w:t>
                              </w:r>
                            </w:p>
                          </w:txbxContent>
                        </wps:txbx>
                        <wps:bodyPr wrap="square" rtlCol="0">
                          <a:spAutoFit/>
                        </wps:bodyPr>
                      </wps:wsp>
                      <wps:wsp>
                        <wps:cNvPr id="3" name="Flowchart: Extract 2"/>
                        <wps:cNvSpPr/>
                        <wps:spPr>
                          <a:xfrm rot="5400000">
                            <a:off x="-44773" y="233524"/>
                            <a:ext cx="224716" cy="135173"/>
                          </a:xfrm>
                          <a:prstGeom prst="flowChartExtract">
                            <a:avLst/>
                          </a:prstGeom>
                          <a:ln/>
                        </wps:spPr>
                        <wps:style>
                          <a:lnRef idx="2">
                            <a:schemeClr val="accent4"/>
                          </a:lnRef>
                          <a:fillRef idx="1">
                            <a:schemeClr val="lt1"/>
                          </a:fillRef>
                          <a:effectRef idx="0">
                            <a:schemeClr val="accent4"/>
                          </a:effectRef>
                          <a:fontRef idx="minor">
                            <a:schemeClr val="dk1"/>
                          </a:fontRef>
                        </wps:style>
                        <wps:bodyPr rtlCol="0" anchor="ctr"/>
                      </wps:wsp>
                    </wpg:wgp>
                  </a:graphicData>
                </a:graphic>
              </wp:anchor>
            </w:drawing>
          </mc:Choice>
          <mc:Fallback>
            <w:pict>
              <v:group w14:anchorId="0D3D7B64" id="Group 6" o:spid="_x0000_s1026" style="position:absolute;left:0;text-align:left;margin-left:319.75pt;margin-top:55.2pt;width:206.3pt;height:49.35pt;z-index:251661312" coordorigin="" coordsize="26200,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">
                <v:shapetype id="_x0000_t202" coordsize="21600,21600" o:spt="202" path="m,l,21600r21600,l21600,xe">
                  <v:stroke joinstyle="miter"/>
                  <v:path gradientshapeok="t" o:connecttype="rect"/>
                </v:shapetype>
                <v:shape id="TextBox 25" o:spid="_x0000_s1027" type="#_x0000_t202" style="position:absolute;left:1987;width:24213;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rsidR="008079A6" w:rsidRPr="004C0704" w:rsidRDefault="008079A6" w:rsidP="0071317C">
                        <w:pPr>
                          <w:pStyle w:val="NormalWeb"/>
                          <w:spacing w:before="0" w:beforeAutospacing="0" w:after="0" w:afterAutospacing="0"/>
                          <w:rPr>
                            <w:rFonts w:ascii="Sylfaen" w:hAnsi="Sylfaen"/>
                            <w:sz w:val="16"/>
                            <w:szCs w:val="16"/>
                          </w:rPr>
                        </w:pPr>
                        <w:r w:rsidRPr="00DE4001">
                          <w:rPr>
                            <w:rFonts w:ascii="Sylfaen" w:hAnsi="Sylfaen" w:cstheme="minorBidi"/>
                            <w:color w:val="000000" w:themeColor="text1"/>
                            <w:kern w:val="24"/>
                            <w:sz w:val="16"/>
                            <w:szCs w:val="16"/>
                            <w:lang w:val="ka-GE"/>
                          </w:rPr>
                          <w:t xml:space="preserve">  </w:t>
                        </w:r>
                        <w:r w:rsidRPr="004C0704">
                          <w:rPr>
                            <w:rFonts w:ascii="Sylfaen" w:hAnsi="Sylfaen" w:cstheme="minorBidi"/>
                            <w:color w:val="000000" w:themeColor="text1"/>
                            <w:kern w:val="24"/>
                            <w:sz w:val="16"/>
                            <w:szCs w:val="16"/>
                            <w:lang w:val="ka-GE"/>
                          </w:rPr>
                          <w:t>საშუალო შეწონილი</w:t>
                        </w:r>
                        <w:r w:rsidRPr="004C0704">
                          <w:rPr>
                            <w:rFonts w:ascii="Sylfaen" w:hAnsi="Sylfaen" w:cstheme="minorBidi"/>
                            <w:color w:val="000000" w:themeColor="text1"/>
                            <w:kern w:val="24"/>
                            <w:sz w:val="16"/>
                            <w:szCs w:val="16"/>
                          </w:rPr>
                          <w:t xml:space="preserve">: </w:t>
                        </w:r>
                      </w:p>
                      <w:p w:rsidR="008079A6" w:rsidRPr="004C0704" w:rsidRDefault="008079A6" w:rsidP="0071317C">
                        <w:pPr>
                          <w:pStyle w:val="NormalWeb"/>
                          <w:spacing w:before="0" w:beforeAutospacing="0" w:after="0" w:afterAutospacing="0"/>
                          <w:rPr>
                            <w:rFonts w:ascii="Sylfaen" w:hAnsi="Sylfaen"/>
                            <w:sz w:val="16"/>
                            <w:szCs w:val="16"/>
                          </w:rPr>
                        </w:pPr>
                        <w:r w:rsidRPr="004C0704">
                          <w:rPr>
                            <w:rFonts w:ascii="Sylfaen" w:hAnsi="Sylfaen" w:cstheme="minorBidi"/>
                            <w:color w:val="000000" w:themeColor="text1"/>
                            <w:kern w:val="24"/>
                            <w:sz w:val="16"/>
                            <w:szCs w:val="16"/>
                          </w:rPr>
                          <w:t xml:space="preserve">- </w:t>
                        </w:r>
                        <w:proofErr w:type="gramStart"/>
                        <w:r w:rsidRPr="004C0704">
                          <w:rPr>
                            <w:rFonts w:ascii="Sylfaen" w:hAnsi="Sylfaen" w:cstheme="minorBidi"/>
                            <w:color w:val="000000" w:themeColor="text1"/>
                            <w:kern w:val="24"/>
                            <w:sz w:val="16"/>
                            <w:szCs w:val="16"/>
                            <w:lang w:val="ka-GE"/>
                          </w:rPr>
                          <w:t>საპროცენტო</w:t>
                        </w:r>
                        <w:proofErr w:type="gramEnd"/>
                        <w:r w:rsidRPr="004C0704">
                          <w:rPr>
                            <w:rFonts w:ascii="Sylfaen" w:hAnsi="Sylfaen" w:cstheme="minorBidi"/>
                            <w:color w:val="000000" w:themeColor="text1"/>
                            <w:kern w:val="24"/>
                            <w:sz w:val="16"/>
                            <w:szCs w:val="16"/>
                            <w:lang w:val="ka-GE"/>
                          </w:rPr>
                          <w:t xml:space="preserve"> განაკვეთი</w:t>
                        </w:r>
                        <w:r w:rsidRPr="004C0704">
                          <w:rPr>
                            <w:rFonts w:ascii="Sylfaen" w:hAnsi="Sylfaen" w:cstheme="minorBidi"/>
                            <w:color w:val="000000" w:themeColor="text1"/>
                            <w:kern w:val="24"/>
                            <w:sz w:val="16"/>
                            <w:szCs w:val="16"/>
                          </w:rPr>
                          <w:t xml:space="preserve"> </w:t>
                        </w:r>
                        <w:r w:rsidRPr="004C0704">
                          <w:rPr>
                            <w:rFonts w:ascii="Sylfaen" w:hAnsi="Sylfaen" w:cstheme="minorBidi"/>
                            <w:b/>
                            <w:bCs/>
                            <w:color w:val="C00000"/>
                            <w:kern w:val="24"/>
                            <w:sz w:val="16"/>
                            <w:szCs w:val="16"/>
                          </w:rPr>
                          <w:t>2.</w:t>
                        </w:r>
                        <w:r>
                          <w:rPr>
                            <w:rFonts w:ascii="Sylfaen" w:hAnsi="Sylfaen" w:cstheme="minorBidi"/>
                            <w:b/>
                            <w:bCs/>
                            <w:color w:val="C00000"/>
                            <w:kern w:val="24"/>
                            <w:sz w:val="16"/>
                            <w:szCs w:val="16"/>
                            <w:lang w:val="ka-GE"/>
                          </w:rPr>
                          <w:t>20</w:t>
                        </w:r>
                        <w:r w:rsidRPr="004C0704">
                          <w:rPr>
                            <w:rFonts w:ascii="Sylfaen" w:hAnsi="Sylfaen" w:cstheme="minorBidi"/>
                            <w:b/>
                            <w:bCs/>
                            <w:color w:val="C00000"/>
                            <w:kern w:val="24"/>
                            <w:sz w:val="16"/>
                            <w:szCs w:val="16"/>
                          </w:rPr>
                          <w:t>%</w:t>
                        </w:r>
                      </w:p>
                      <w:p w:rsidR="008079A6" w:rsidRPr="004C0704" w:rsidRDefault="008079A6" w:rsidP="0071317C">
                        <w:pPr>
                          <w:pStyle w:val="NormalWeb"/>
                          <w:spacing w:before="0" w:beforeAutospacing="0" w:after="0" w:afterAutospacing="0"/>
                          <w:rPr>
                            <w:rFonts w:ascii="Sylfaen" w:hAnsi="Sylfaen" w:cstheme="minorBidi"/>
                            <w:b/>
                            <w:bCs/>
                            <w:color w:val="C00000"/>
                            <w:kern w:val="24"/>
                            <w:sz w:val="16"/>
                            <w:szCs w:val="16"/>
                            <w:lang w:val="ka-GE"/>
                          </w:rPr>
                        </w:pPr>
                        <w:r w:rsidRPr="004C0704">
                          <w:rPr>
                            <w:rFonts w:ascii="Sylfaen" w:hAnsi="Sylfaen" w:cstheme="minorBidi"/>
                            <w:color w:val="000000" w:themeColor="text1"/>
                            <w:kern w:val="24"/>
                            <w:sz w:val="16"/>
                            <w:szCs w:val="16"/>
                          </w:rPr>
                          <w:t xml:space="preserve">- </w:t>
                        </w:r>
                        <w:proofErr w:type="gramStart"/>
                        <w:r w:rsidRPr="004C0704">
                          <w:rPr>
                            <w:rFonts w:ascii="Sylfaen" w:hAnsi="Sylfaen" w:cstheme="minorBidi"/>
                            <w:color w:val="000000" w:themeColor="text1"/>
                            <w:kern w:val="24"/>
                            <w:sz w:val="16"/>
                            <w:szCs w:val="16"/>
                            <w:lang w:val="ka-GE"/>
                          </w:rPr>
                          <w:t>საკონტრაქტო</w:t>
                        </w:r>
                        <w:proofErr w:type="gramEnd"/>
                        <w:r w:rsidRPr="004C0704">
                          <w:rPr>
                            <w:rFonts w:ascii="Sylfaen" w:hAnsi="Sylfaen" w:cstheme="minorBidi"/>
                            <w:color w:val="000000" w:themeColor="text1"/>
                            <w:kern w:val="24"/>
                            <w:sz w:val="16"/>
                            <w:szCs w:val="16"/>
                            <w:lang w:val="ka-GE"/>
                          </w:rPr>
                          <w:t xml:space="preserve"> ვადიანობა</w:t>
                        </w:r>
                        <w:r w:rsidRPr="004C0704">
                          <w:rPr>
                            <w:rFonts w:ascii="Sylfaen" w:hAnsi="Sylfaen" w:cstheme="minorBidi"/>
                            <w:color w:val="000000" w:themeColor="text1"/>
                            <w:kern w:val="24"/>
                            <w:sz w:val="16"/>
                            <w:szCs w:val="16"/>
                          </w:rPr>
                          <w:t xml:space="preserve"> </w:t>
                        </w:r>
                        <w:r w:rsidRPr="004C0704">
                          <w:rPr>
                            <w:rFonts w:ascii="Sylfaen" w:hAnsi="Sylfaen" w:cstheme="minorBidi"/>
                            <w:b/>
                            <w:bCs/>
                            <w:color w:val="C00000"/>
                            <w:kern w:val="24"/>
                            <w:sz w:val="16"/>
                            <w:szCs w:val="16"/>
                          </w:rPr>
                          <w:t>2</w:t>
                        </w:r>
                        <w:r>
                          <w:rPr>
                            <w:rFonts w:ascii="Sylfaen" w:hAnsi="Sylfaen" w:cstheme="minorBidi"/>
                            <w:b/>
                            <w:bCs/>
                            <w:color w:val="C00000"/>
                            <w:kern w:val="24"/>
                            <w:sz w:val="16"/>
                            <w:szCs w:val="16"/>
                            <w:lang w:val="ka-GE"/>
                          </w:rPr>
                          <w:t>2</w:t>
                        </w:r>
                        <w:r w:rsidRPr="004C0704">
                          <w:rPr>
                            <w:rFonts w:ascii="Sylfaen" w:hAnsi="Sylfaen" w:cstheme="minorBidi"/>
                            <w:b/>
                            <w:bCs/>
                            <w:color w:val="C00000"/>
                            <w:kern w:val="24"/>
                            <w:sz w:val="16"/>
                            <w:szCs w:val="16"/>
                            <w:lang w:val="ka-GE"/>
                          </w:rPr>
                          <w:t>.</w:t>
                        </w:r>
                        <w:r>
                          <w:rPr>
                            <w:rFonts w:ascii="Sylfaen" w:hAnsi="Sylfaen" w:cstheme="minorBidi"/>
                            <w:b/>
                            <w:bCs/>
                            <w:color w:val="C00000"/>
                            <w:kern w:val="24"/>
                            <w:sz w:val="16"/>
                            <w:szCs w:val="16"/>
                            <w:lang w:val="ka-GE"/>
                          </w:rPr>
                          <w:t>2</w:t>
                        </w:r>
                        <w:r w:rsidRPr="004C0704">
                          <w:rPr>
                            <w:rFonts w:ascii="Sylfaen" w:hAnsi="Sylfaen" w:cstheme="minorBidi"/>
                            <w:b/>
                            <w:bCs/>
                            <w:color w:val="C00000"/>
                            <w:kern w:val="24"/>
                            <w:sz w:val="16"/>
                            <w:szCs w:val="16"/>
                            <w:lang w:val="ka-GE"/>
                          </w:rPr>
                          <w:t xml:space="preserve"> წელი</w:t>
                        </w:r>
                      </w:p>
                      <w:p w:rsidR="008079A6" w:rsidRPr="00DE4001" w:rsidRDefault="008079A6" w:rsidP="0071317C">
                        <w:pPr>
                          <w:pStyle w:val="NormalWeb"/>
                          <w:spacing w:before="0" w:beforeAutospacing="0" w:after="0" w:afterAutospacing="0"/>
                          <w:rPr>
                            <w:rFonts w:ascii="Sylfaen" w:hAnsi="Sylfaen"/>
                            <w:sz w:val="16"/>
                            <w:szCs w:val="16"/>
                            <w:lang w:val="ka-GE"/>
                          </w:rPr>
                        </w:pPr>
                        <w:r w:rsidRPr="004C0704">
                          <w:rPr>
                            <w:rFonts w:ascii="Sylfaen" w:hAnsi="Sylfaen" w:cstheme="minorBidi"/>
                            <w:bCs/>
                            <w:kern w:val="24"/>
                            <w:sz w:val="16"/>
                            <w:szCs w:val="16"/>
                            <w:lang w:val="ka-GE"/>
                          </w:rPr>
                          <w:t xml:space="preserve">- დარჩენილი </w:t>
                        </w:r>
                        <w:r w:rsidRPr="00270C72">
                          <w:rPr>
                            <w:rFonts w:ascii="Sylfaen" w:hAnsi="Sylfaen" w:cstheme="minorBidi"/>
                            <w:bCs/>
                            <w:kern w:val="24"/>
                            <w:sz w:val="16"/>
                            <w:szCs w:val="16"/>
                            <w:lang w:val="ka-GE"/>
                          </w:rPr>
                          <w:t>ვადიანობა</w:t>
                        </w:r>
                        <w:r w:rsidRPr="00270C72">
                          <w:rPr>
                            <w:rFonts w:ascii="Sylfaen" w:hAnsi="Sylfaen" w:cstheme="minorBidi"/>
                            <w:b/>
                            <w:bCs/>
                            <w:kern w:val="24"/>
                            <w:sz w:val="16"/>
                            <w:szCs w:val="16"/>
                          </w:rPr>
                          <w:t xml:space="preserve"> </w:t>
                        </w:r>
                        <w:r w:rsidRPr="00270C72">
                          <w:rPr>
                            <w:rFonts w:ascii="Sylfaen" w:hAnsi="Sylfaen" w:cstheme="minorBidi"/>
                            <w:b/>
                            <w:bCs/>
                            <w:color w:val="C00000"/>
                            <w:kern w:val="24"/>
                            <w:sz w:val="16"/>
                            <w:szCs w:val="16"/>
                            <w:lang w:val="ka-GE"/>
                          </w:rPr>
                          <w:t>8.</w:t>
                        </w:r>
                        <w:r>
                          <w:rPr>
                            <w:rFonts w:ascii="Sylfaen" w:hAnsi="Sylfaen" w:cstheme="minorBidi"/>
                            <w:b/>
                            <w:bCs/>
                            <w:color w:val="C00000"/>
                            <w:kern w:val="24"/>
                            <w:sz w:val="16"/>
                            <w:szCs w:val="16"/>
                            <w:lang w:val="ka-GE"/>
                          </w:rPr>
                          <w:t>3</w:t>
                        </w:r>
                        <w:r w:rsidRPr="004C0704">
                          <w:rPr>
                            <w:rFonts w:ascii="Sylfaen" w:hAnsi="Sylfaen" w:cstheme="minorBidi"/>
                            <w:b/>
                            <w:bCs/>
                            <w:color w:val="C00000"/>
                            <w:kern w:val="24"/>
                            <w:sz w:val="16"/>
                            <w:szCs w:val="16"/>
                            <w:lang w:val="ka-GE"/>
                          </w:rPr>
                          <w:t xml:space="preserve"> წელი</w:t>
                        </w:r>
                      </w:p>
                    </w:txbxContent>
                  </v:textbox>
                </v:shape>
                <v:shapetype id="_x0000_t127" coordsize="21600,21600" o:spt="127" path="m10800,l21600,21600,,21600xe">
                  <v:stroke joinstyle="miter"/>
                  <v:path gradientshapeok="t" o:connecttype="custom" o:connectlocs="10800,0;5400,10800;10800,21600;16200,10800" textboxrect="5400,10800,16200,21600"/>
                </v:shapetype>
                <v:shape id="Flowchart: Extract 2" o:spid="_x0000_s1028" type="#_x0000_t127" style="position:absolute;left:-448;top:2335;width:2247;height:13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" fillcolor="white [3201]" strokecolor="#8064a2 [3207]" strokeweight="2pt"/>
              </v:group>
            </w:pict>
          </mc:Fallback>
        </mc:AlternateContent>
      </w:r>
      <w:r w:rsidR="00764192" w:rsidRPr="004C0704">
        <w:rPr>
          <w:rFonts w:ascii="Sylfaen" w:hAnsi="Sylfaen"/>
          <w:lang w:val="ka-GE"/>
        </w:rPr>
        <w:t xml:space="preserve"> </w:t>
      </w:r>
      <w:r w:rsidR="00DE4001" w:rsidRPr="004C0704">
        <w:rPr>
          <w:noProof/>
        </w:rPr>
        <w:drawing>
          <wp:inline distT="0" distB="0" distL="0" distR="0" wp14:anchorId="20933C21" wp14:editId="4B767450">
            <wp:extent cx="4218323" cy="21431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57E95" w:rsidRDefault="00B57E95" w:rsidP="00D62E87">
      <w:pPr>
        <w:tabs>
          <w:tab w:val="left" w:pos="720"/>
        </w:tabs>
        <w:spacing w:after="120" w:line="240" w:lineRule="auto"/>
        <w:ind w:firstLine="720"/>
        <w:jc w:val="both"/>
        <w:rPr>
          <w:rFonts w:ascii="Sylfaen" w:hAnsi="Sylfaen" w:cs="Sylfaen"/>
          <w:szCs w:val="21"/>
          <w:shd w:val="clear" w:color="auto" w:fill="FFFFFF"/>
          <w:lang w:val="ka-GE"/>
        </w:rPr>
      </w:pPr>
    </w:p>
    <w:p w:rsidR="006F4202" w:rsidRPr="001C5235" w:rsidRDefault="009363B9" w:rsidP="00D62E87">
      <w:pPr>
        <w:tabs>
          <w:tab w:val="left" w:pos="720"/>
        </w:tabs>
        <w:spacing w:after="120" w:line="240" w:lineRule="auto"/>
        <w:ind w:firstLine="720"/>
        <w:jc w:val="both"/>
        <w:rPr>
          <w:rFonts w:ascii="Sylfaen" w:hAnsi="Sylfaen" w:cs="Sylfaen"/>
          <w:szCs w:val="21"/>
          <w:shd w:val="clear" w:color="auto" w:fill="FFFFFF"/>
        </w:rPr>
      </w:pPr>
      <w:r>
        <w:rPr>
          <w:rFonts w:ascii="Sylfaen" w:hAnsi="Sylfaen" w:cs="Sylfaen"/>
          <w:szCs w:val="21"/>
          <w:shd w:val="clear" w:color="auto" w:fill="FFFFFF"/>
          <w:lang w:val="ka-GE"/>
        </w:rPr>
        <w:t>201</w:t>
      </w:r>
      <w:r>
        <w:rPr>
          <w:rFonts w:ascii="Sylfaen" w:hAnsi="Sylfaen" w:cs="Sylfaen"/>
          <w:szCs w:val="21"/>
          <w:shd w:val="clear" w:color="auto" w:fill="FFFFFF"/>
        </w:rPr>
        <w:t>8</w:t>
      </w:r>
      <w:r>
        <w:rPr>
          <w:rFonts w:ascii="Sylfaen" w:hAnsi="Sylfaen" w:cs="Sylfaen"/>
          <w:szCs w:val="21"/>
          <w:shd w:val="clear" w:color="auto" w:fill="FFFFFF"/>
          <w:lang w:val="ka-GE"/>
        </w:rPr>
        <w:t xml:space="preserve"> წლის </w:t>
      </w:r>
      <w:r w:rsidR="006B3FC1">
        <w:rPr>
          <w:rFonts w:ascii="Sylfaen" w:hAnsi="Sylfaen" w:cs="Sylfaen"/>
          <w:szCs w:val="21"/>
          <w:shd w:val="clear" w:color="auto" w:fill="FFFFFF"/>
          <w:lang w:val="ka-GE"/>
        </w:rPr>
        <w:t>31</w:t>
      </w:r>
      <w:r w:rsidR="00EB0EE9">
        <w:rPr>
          <w:rFonts w:ascii="Sylfaen" w:hAnsi="Sylfaen" w:cs="Sylfaen"/>
          <w:szCs w:val="21"/>
          <w:shd w:val="clear" w:color="auto" w:fill="FFFFFF"/>
        </w:rPr>
        <w:t xml:space="preserve"> </w:t>
      </w:r>
      <w:r w:rsidR="006B3FC1">
        <w:rPr>
          <w:rFonts w:ascii="Sylfaen" w:hAnsi="Sylfaen" w:cs="Sylfaen"/>
          <w:szCs w:val="21"/>
          <w:shd w:val="clear" w:color="auto" w:fill="FFFFFF"/>
          <w:lang w:val="ka-GE"/>
        </w:rPr>
        <w:t>დეკემბრის</w:t>
      </w:r>
      <w:r>
        <w:rPr>
          <w:rFonts w:ascii="Sylfaen" w:hAnsi="Sylfaen" w:cs="Sylfaen"/>
          <w:szCs w:val="21"/>
          <w:shd w:val="clear" w:color="auto" w:fill="FFFFFF"/>
          <w:lang w:val="ka-GE"/>
        </w:rPr>
        <w:t xml:space="preserve"> </w:t>
      </w:r>
      <w:r w:rsidR="009A7187" w:rsidRPr="0057502A">
        <w:rPr>
          <w:rFonts w:ascii="Sylfaen" w:hAnsi="Sylfaen"/>
          <w:szCs w:val="21"/>
          <w:shd w:val="clear" w:color="auto" w:fill="FFFFFF"/>
          <w:lang w:val="ka-GE"/>
        </w:rPr>
        <w:t xml:space="preserve">მდგომარეობით </w:t>
      </w:r>
      <w:r w:rsidR="006F4202" w:rsidRPr="0057502A">
        <w:rPr>
          <w:rFonts w:ascii="Sylfaen" w:hAnsi="Sylfaen" w:cs="Sylfaen"/>
          <w:szCs w:val="21"/>
          <w:shd w:val="clear" w:color="auto" w:fill="FFFFFF"/>
        </w:rPr>
        <w:t xml:space="preserve">სახელმწიფო საგარეო ვალის </w:t>
      </w:r>
      <w:r w:rsidR="006F4202" w:rsidRPr="009C1DED">
        <w:rPr>
          <w:rFonts w:ascii="Sylfaen" w:hAnsi="Sylfaen" w:cs="Sylfaen"/>
          <w:szCs w:val="21"/>
          <w:shd w:val="clear" w:color="auto" w:fill="FFFFFF"/>
        </w:rPr>
        <w:t xml:space="preserve">პორტფელის </w:t>
      </w:r>
      <w:r w:rsidR="006B3FC1">
        <w:rPr>
          <w:rFonts w:ascii="Sylfaen" w:hAnsi="Sylfaen" w:cs="Sylfaen"/>
          <w:szCs w:val="21"/>
          <w:shd w:val="clear" w:color="auto" w:fill="FFFFFF"/>
          <w:lang w:val="ka-GE"/>
        </w:rPr>
        <w:t>59</w:t>
      </w:r>
      <w:r w:rsidR="006F4202" w:rsidRPr="00F01A27">
        <w:rPr>
          <w:rFonts w:ascii="Sylfaen" w:hAnsi="Sylfaen" w:cs="Sylfaen"/>
          <w:szCs w:val="21"/>
          <w:shd w:val="clear" w:color="auto" w:fill="FFFFFF"/>
        </w:rPr>
        <w:t xml:space="preserve">% შედგება ფიქსირებული საპროცენტო განაკვეთის მქონე კრედიტებისგან. </w:t>
      </w:r>
      <w:proofErr w:type="gramStart"/>
      <w:r w:rsidR="006F4202" w:rsidRPr="00F01A27">
        <w:rPr>
          <w:rFonts w:ascii="Sylfaen" w:hAnsi="Sylfaen" w:cs="Sylfaen"/>
          <w:szCs w:val="21"/>
          <w:shd w:val="clear" w:color="auto" w:fill="FFFFFF"/>
        </w:rPr>
        <w:t>ეს</w:t>
      </w:r>
      <w:proofErr w:type="gramEnd"/>
      <w:r w:rsidR="006F4202" w:rsidRPr="00F01A27">
        <w:rPr>
          <w:rFonts w:ascii="Sylfaen" w:hAnsi="Sylfaen" w:cs="Sylfaen"/>
          <w:szCs w:val="21"/>
          <w:shd w:val="clear" w:color="auto" w:fill="FFFFFF"/>
        </w:rPr>
        <w:t xml:space="preserve"> გარემოება ხელს უწყობს საქართველოს სახელმწიფო საგარეო ვალის მომსახურების პარამეტრების დაცულობას საპროცენტო განაკვეთების ეგზოგენური რყევებისგან და უზრუნველყოფს ვალის მომსახურების ხარჯების შენარჩუნებას დაბალ</w:t>
      </w:r>
      <w:r w:rsidR="006F4202" w:rsidRPr="00F01A27">
        <w:rPr>
          <w:rFonts w:ascii="Sylfaen" w:hAnsi="Sylfaen" w:cs="Sylfaen"/>
          <w:szCs w:val="21"/>
          <w:shd w:val="clear" w:color="auto" w:fill="FFFFFF"/>
          <w:lang w:val="ka-GE"/>
        </w:rPr>
        <w:t xml:space="preserve"> </w:t>
      </w:r>
      <w:r w:rsidR="006F4202" w:rsidRPr="00F01A27">
        <w:rPr>
          <w:rFonts w:ascii="Sylfaen" w:hAnsi="Sylfaen" w:cs="Sylfaen"/>
          <w:szCs w:val="21"/>
          <w:shd w:val="clear" w:color="auto" w:fill="FFFFFF"/>
        </w:rPr>
        <w:t>დონეზე</w:t>
      </w:r>
      <w:r w:rsidR="006F4202" w:rsidRPr="00F01A27">
        <w:rPr>
          <w:rFonts w:ascii="Sylfaen" w:hAnsi="Sylfaen" w:cs="Sylfaen"/>
          <w:szCs w:val="21"/>
          <w:shd w:val="clear" w:color="auto" w:fill="FFFFFF"/>
          <w:lang w:val="ka-GE"/>
        </w:rPr>
        <w:t>. სახელმ</w:t>
      </w:r>
      <w:r w:rsidR="00E569AC" w:rsidRPr="00F01A27">
        <w:rPr>
          <w:rFonts w:ascii="Sylfaen" w:hAnsi="Sylfaen" w:cs="Sylfaen"/>
          <w:szCs w:val="21"/>
          <w:shd w:val="clear" w:color="auto" w:fill="FFFFFF"/>
          <w:lang w:val="ka-GE"/>
        </w:rPr>
        <w:t>წ</w:t>
      </w:r>
      <w:r w:rsidR="006F4202" w:rsidRPr="00F01A27">
        <w:rPr>
          <w:rFonts w:ascii="Sylfaen" w:hAnsi="Sylfaen" w:cs="Sylfaen"/>
          <w:szCs w:val="21"/>
          <w:shd w:val="clear" w:color="auto" w:fill="FFFFFF"/>
          <w:lang w:val="ka-GE"/>
        </w:rPr>
        <w:t xml:space="preserve">იფო საგარეო ვალის </w:t>
      </w:r>
      <w:r w:rsidR="006B3FC1">
        <w:rPr>
          <w:rFonts w:ascii="Sylfaen" w:hAnsi="Sylfaen" w:cs="Sylfaen"/>
          <w:szCs w:val="21"/>
          <w:shd w:val="clear" w:color="auto" w:fill="FFFFFF"/>
          <w:lang w:val="ka-GE"/>
        </w:rPr>
        <w:t>37</w:t>
      </w:r>
      <w:r w:rsidR="006F4202" w:rsidRPr="00F01A27">
        <w:rPr>
          <w:rFonts w:ascii="Sylfaen" w:hAnsi="Sylfaen" w:cs="Sylfaen"/>
          <w:szCs w:val="21"/>
          <w:shd w:val="clear" w:color="auto" w:fill="FFFFFF"/>
          <w:lang w:val="ka-GE"/>
        </w:rPr>
        <w:t xml:space="preserve">% </w:t>
      </w:r>
      <w:r w:rsidR="006F4202" w:rsidRPr="00F01A27">
        <w:rPr>
          <w:rFonts w:ascii="Sylfaen" w:hAnsi="Sylfaen" w:cs="Sylfaen"/>
          <w:szCs w:val="21"/>
          <w:shd w:val="clear" w:color="auto" w:fill="FFFFFF"/>
        </w:rPr>
        <w:t>SDR-</w:t>
      </w:r>
      <w:r w:rsidR="006F4202" w:rsidRPr="00F01A27">
        <w:rPr>
          <w:rFonts w:ascii="Sylfaen" w:hAnsi="Sylfaen" w:cs="Sylfaen"/>
          <w:szCs w:val="21"/>
          <w:shd w:val="clear" w:color="auto" w:fill="FFFFFF"/>
          <w:lang w:val="ka-GE"/>
        </w:rPr>
        <w:t>შია დენომინირებული (ნასესხობის სპეციალური უფლება) მსოფლიო ბანკის, საერთაშორისო</w:t>
      </w:r>
      <w:r w:rsidR="006F4202" w:rsidRPr="0057502A">
        <w:rPr>
          <w:rFonts w:ascii="Sylfaen" w:hAnsi="Sylfaen" w:cs="Sylfaen"/>
          <w:szCs w:val="21"/>
          <w:shd w:val="clear" w:color="auto" w:fill="FFFFFF"/>
          <w:lang w:val="ka-GE"/>
        </w:rPr>
        <w:t xml:space="preserve"> სავალუტო ფონდის და აზიის განვითარების ბანკის ფინანსური რესურსების დიდი წილის გამო. </w:t>
      </w:r>
    </w:p>
    <w:p w:rsidR="00B7509F" w:rsidRDefault="00B57E95" w:rsidP="00D62E87">
      <w:pPr>
        <w:tabs>
          <w:tab w:val="left" w:pos="360"/>
        </w:tabs>
        <w:spacing w:line="240" w:lineRule="auto"/>
        <w:rPr>
          <w:rFonts w:ascii="Sylfaen" w:hAnsi="Sylfaen"/>
          <w:lang w:val="ka-GE"/>
        </w:rPr>
      </w:pPr>
      <w:r>
        <w:rPr>
          <w:noProof/>
        </w:rPr>
        <w:drawing>
          <wp:anchor distT="0" distB="0" distL="114300" distR="114300" simplePos="0" relativeHeight="251662336" behindDoc="1" locked="0" layoutInCell="1" allowOverlap="1">
            <wp:simplePos x="0" y="0"/>
            <wp:positionH relativeFrom="column">
              <wp:posOffset>38735</wp:posOffset>
            </wp:positionH>
            <wp:positionV relativeFrom="paragraph">
              <wp:posOffset>222885</wp:posOffset>
            </wp:positionV>
            <wp:extent cx="2847975" cy="1905000"/>
            <wp:effectExtent l="0" t="0" r="0" b="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570C98" w:rsidRPr="0057502A">
        <w:rPr>
          <w:rFonts w:ascii="Sylfaen" w:hAnsi="Sylfaen"/>
          <w:lang w:val="ka-GE"/>
        </w:rPr>
        <w:t xml:space="preserve">  </w:t>
      </w:r>
    </w:p>
    <w:p w:rsidR="00A93CD1" w:rsidRDefault="00A93CD1" w:rsidP="00D62E87">
      <w:pPr>
        <w:tabs>
          <w:tab w:val="left" w:pos="360"/>
        </w:tabs>
        <w:spacing w:line="240" w:lineRule="auto"/>
        <w:rPr>
          <w:rFonts w:ascii="Sylfaen" w:hAnsi="Sylfaen"/>
        </w:rPr>
      </w:pPr>
    </w:p>
    <w:p w:rsidR="00A93CD1" w:rsidRPr="00A93CD1" w:rsidRDefault="00A93CD1" w:rsidP="00D62E87">
      <w:pPr>
        <w:tabs>
          <w:tab w:val="left" w:pos="360"/>
        </w:tabs>
        <w:spacing w:line="240" w:lineRule="auto"/>
        <w:rPr>
          <w:rFonts w:ascii="Sylfaen" w:hAnsi="Sylfaen"/>
        </w:rPr>
      </w:pPr>
    </w:p>
    <w:p w:rsidR="006042C4" w:rsidRDefault="00E4055E" w:rsidP="00D62E87">
      <w:pPr>
        <w:tabs>
          <w:tab w:val="left" w:pos="360"/>
        </w:tabs>
        <w:spacing w:after="0" w:line="240" w:lineRule="auto"/>
        <w:jc w:val="center"/>
        <w:rPr>
          <w:rFonts w:ascii="Sylfaen" w:hAnsi="Sylfaen"/>
          <w:b/>
          <w:lang w:val="ka-GE"/>
        </w:rPr>
      </w:pPr>
      <w:r>
        <w:rPr>
          <w:noProof/>
        </w:rPr>
        <w:drawing>
          <wp:anchor distT="0" distB="0" distL="114300" distR="114300" simplePos="0" relativeHeight="251659264" behindDoc="0" locked="0" layoutInCell="1" allowOverlap="1" wp14:anchorId="1A58EEFE" wp14:editId="60D53627">
            <wp:simplePos x="0" y="0"/>
            <wp:positionH relativeFrom="page">
              <wp:posOffset>3805583</wp:posOffset>
            </wp:positionH>
            <wp:positionV relativeFrom="paragraph">
              <wp:posOffset>-718356</wp:posOffset>
            </wp:positionV>
            <wp:extent cx="2466975" cy="1981200"/>
            <wp:effectExtent l="0" t="0" r="28575" b="0"/>
            <wp:wrapThrough wrapText="bothSides">
              <wp:wrapPolygon edited="0">
                <wp:start x="0" y="0"/>
                <wp:lineTo x="0" y="21392"/>
                <wp:lineTo x="21683" y="21392"/>
                <wp:lineTo x="21683" y="0"/>
                <wp:lineTo x="0" y="0"/>
              </wp:wrapPolygon>
            </wp:wrapThrough>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2F5FB0" w:rsidRDefault="002F5FB0" w:rsidP="00D62E87">
      <w:pPr>
        <w:spacing w:line="240" w:lineRule="auto"/>
        <w:rPr>
          <w:rFonts w:ascii="Sylfaen" w:hAnsi="Sylfaen"/>
          <w:b/>
          <w:lang w:val="ka-GE"/>
        </w:rPr>
      </w:pPr>
      <w:r>
        <w:rPr>
          <w:rFonts w:ascii="Sylfaen" w:hAnsi="Sylfaen"/>
          <w:b/>
          <w:lang w:val="ka-GE"/>
        </w:rPr>
        <w:br w:type="page"/>
      </w:r>
    </w:p>
    <w:p w:rsidR="00071D1D" w:rsidRDefault="00071D1D" w:rsidP="00D62E87">
      <w:pPr>
        <w:tabs>
          <w:tab w:val="left" w:pos="360"/>
        </w:tabs>
        <w:spacing w:after="0" w:line="240" w:lineRule="auto"/>
        <w:jc w:val="center"/>
        <w:rPr>
          <w:rFonts w:ascii="Sylfaen" w:hAnsi="Sylfaen"/>
          <w:b/>
          <w:lang w:val="ka-GE"/>
        </w:rPr>
      </w:pPr>
      <w:r w:rsidRPr="00B04141">
        <w:rPr>
          <w:rFonts w:ascii="Sylfaen" w:hAnsi="Sylfaen"/>
          <w:b/>
          <w:lang w:val="ka-GE"/>
        </w:rPr>
        <w:lastRenderedPageBreak/>
        <w:t xml:space="preserve">სახელმწიფო საგარეო ვალის სტრუქტურა - </w:t>
      </w:r>
      <w:r w:rsidR="00E46C45" w:rsidRPr="00F53863">
        <w:rPr>
          <w:rFonts w:ascii="Sylfaen" w:hAnsi="Sylfaen"/>
          <w:b/>
          <w:lang w:val="ka-GE"/>
        </w:rPr>
        <w:t xml:space="preserve">2018 წლის </w:t>
      </w:r>
      <w:r w:rsidR="006B3FC1">
        <w:rPr>
          <w:rFonts w:ascii="Sylfaen" w:hAnsi="Sylfaen" w:cs="Sylfaen"/>
          <w:b/>
          <w:szCs w:val="18"/>
          <w:shd w:val="clear" w:color="auto" w:fill="FFFFFF"/>
          <w:lang w:val="ka-GE"/>
        </w:rPr>
        <w:t>31</w:t>
      </w:r>
      <w:r w:rsidR="001757D3" w:rsidRPr="00EB0EE9">
        <w:rPr>
          <w:rFonts w:ascii="Sylfaen" w:hAnsi="Sylfaen" w:cs="Sylfaen"/>
          <w:b/>
          <w:szCs w:val="18"/>
          <w:shd w:val="clear" w:color="auto" w:fill="FFFFFF"/>
          <w:lang w:val="ka-GE"/>
        </w:rPr>
        <w:t xml:space="preserve"> </w:t>
      </w:r>
      <w:r w:rsidR="006B3FC1">
        <w:rPr>
          <w:rFonts w:ascii="Sylfaen" w:hAnsi="Sylfaen" w:cs="Sylfaen"/>
          <w:b/>
          <w:szCs w:val="18"/>
          <w:shd w:val="clear" w:color="auto" w:fill="FFFFFF"/>
          <w:lang w:val="ka-GE"/>
        </w:rPr>
        <w:t>დეკემბრის</w:t>
      </w:r>
      <w:r w:rsidR="001757D3">
        <w:rPr>
          <w:rFonts w:ascii="Sylfaen" w:hAnsi="Sylfaen" w:cs="Sylfaen"/>
          <w:b/>
          <w:szCs w:val="18"/>
          <w:shd w:val="clear" w:color="auto" w:fill="FFFFFF"/>
          <w:lang w:val="ka-GE"/>
        </w:rPr>
        <w:t xml:space="preserve"> </w:t>
      </w:r>
      <w:r w:rsidR="00E46C45" w:rsidRPr="00F53863">
        <w:rPr>
          <w:rFonts w:ascii="Sylfaen" w:hAnsi="Sylfaen"/>
          <w:b/>
          <w:lang w:val="ka-GE"/>
        </w:rPr>
        <w:t xml:space="preserve"> </w:t>
      </w:r>
      <w:r w:rsidRPr="00B04141">
        <w:rPr>
          <w:rFonts w:ascii="Sylfaen" w:hAnsi="Sylfaen"/>
          <w:b/>
          <w:lang w:val="ka-GE"/>
        </w:rPr>
        <w:t>მდგომარეობით</w:t>
      </w:r>
    </w:p>
    <w:p w:rsidR="00D02027" w:rsidRDefault="00D02027" w:rsidP="00D62E87">
      <w:pPr>
        <w:tabs>
          <w:tab w:val="left" w:pos="360"/>
        </w:tabs>
        <w:spacing w:after="0" w:line="240" w:lineRule="auto"/>
        <w:jc w:val="center"/>
        <w:rPr>
          <w:rFonts w:ascii="Sylfaen" w:hAnsi="Sylfaen"/>
          <w:b/>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3339"/>
        <w:gridCol w:w="1093"/>
        <w:gridCol w:w="1429"/>
        <w:gridCol w:w="1269"/>
        <w:gridCol w:w="1286"/>
        <w:gridCol w:w="1105"/>
        <w:gridCol w:w="1269"/>
      </w:tblGrid>
      <w:tr w:rsidR="006B3FC1" w:rsidTr="00607DFD">
        <w:trPr>
          <w:trHeight w:hRule="exact" w:val="706"/>
          <w:tblHeader/>
        </w:trPr>
        <w:tc>
          <w:tcPr>
            <w:tcW w:w="1547" w:type="pct"/>
            <w:tcBorders>
              <w:top w:val="single" w:sz="4" w:space="0" w:color="auto"/>
              <w:left w:val="single" w:sz="4" w:space="0" w:color="auto"/>
            </w:tcBorders>
            <w:shd w:val="clear" w:color="000000" w:fill="FFFFFF"/>
            <w:vAlign w:val="center"/>
            <w:hideMark/>
          </w:tcPr>
          <w:p w:rsidR="006B3FC1" w:rsidRDefault="006B3FC1">
            <w:pPr>
              <w:jc w:val="center"/>
              <w:rPr>
                <w:rFonts w:ascii="Calibri" w:hAnsi="Calibri" w:cs="Calibri"/>
                <w:b/>
                <w:bCs/>
                <w:sz w:val="14"/>
                <w:szCs w:val="14"/>
              </w:rPr>
            </w:pPr>
            <w:r>
              <w:rPr>
                <w:rFonts w:ascii="Sylfaen" w:hAnsi="Sylfaen" w:cs="Sylfaen"/>
                <w:b/>
                <w:bCs/>
                <w:sz w:val="14"/>
                <w:szCs w:val="14"/>
              </w:rPr>
              <w:t>კრედიტორი</w:t>
            </w:r>
            <w:r>
              <w:rPr>
                <w:rFonts w:ascii="Calibri" w:hAnsi="Calibri" w:cs="Calibri"/>
                <w:b/>
                <w:bCs/>
                <w:sz w:val="14"/>
                <w:szCs w:val="14"/>
              </w:rPr>
              <w:t xml:space="preserve"> </w:t>
            </w:r>
          </w:p>
        </w:tc>
        <w:tc>
          <w:tcPr>
            <w:tcW w:w="506" w:type="pct"/>
            <w:tcBorders>
              <w:top w:val="single" w:sz="4" w:space="0" w:color="auto"/>
            </w:tcBorders>
            <w:shd w:val="clear" w:color="000000" w:fill="FFFFFF"/>
            <w:vAlign w:val="center"/>
            <w:hideMark/>
          </w:tcPr>
          <w:p w:rsidR="006B3FC1" w:rsidRDefault="006B3FC1">
            <w:pPr>
              <w:jc w:val="center"/>
              <w:rPr>
                <w:rFonts w:ascii="Calibri" w:hAnsi="Calibri" w:cs="Calibri"/>
                <w:b/>
                <w:bCs/>
                <w:sz w:val="14"/>
                <w:szCs w:val="14"/>
              </w:rPr>
            </w:pPr>
            <w:r>
              <w:rPr>
                <w:rFonts w:ascii="Calibri" w:hAnsi="Calibri" w:cs="Calibri"/>
                <w:b/>
                <w:bCs/>
                <w:sz w:val="14"/>
                <w:szCs w:val="14"/>
              </w:rPr>
              <w:t xml:space="preserve"> </w:t>
            </w:r>
            <w:r>
              <w:rPr>
                <w:rFonts w:ascii="Sylfaen" w:hAnsi="Sylfaen" w:cs="Sylfaen"/>
                <w:b/>
                <w:bCs/>
                <w:sz w:val="14"/>
                <w:szCs w:val="14"/>
              </w:rPr>
              <w:t>კრედიტის</w:t>
            </w:r>
            <w:r>
              <w:rPr>
                <w:rFonts w:ascii="Calibri" w:hAnsi="Calibri" w:cs="Calibri"/>
                <w:b/>
                <w:bCs/>
                <w:sz w:val="14"/>
                <w:szCs w:val="14"/>
              </w:rPr>
              <w:t xml:space="preserve"> </w:t>
            </w:r>
            <w:r>
              <w:rPr>
                <w:rFonts w:ascii="Sylfaen" w:hAnsi="Sylfaen" w:cs="Sylfaen"/>
                <w:b/>
                <w:bCs/>
                <w:sz w:val="14"/>
                <w:szCs w:val="14"/>
              </w:rPr>
              <w:t>ვალუტა</w:t>
            </w:r>
            <w:r>
              <w:rPr>
                <w:rFonts w:ascii="Calibri" w:hAnsi="Calibri" w:cs="Calibri"/>
                <w:b/>
                <w:bCs/>
                <w:sz w:val="14"/>
                <w:szCs w:val="14"/>
              </w:rPr>
              <w:t xml:space="preserve"> </w:t>
            </w:r>
          </w:p>
        </w:tc>
        <w:tc>
          <w:tcPr>
            <w:tcW w:w="662" w:type="pct"/>
            <w:tcBorders>
              <w:top w:val="single" w:sz="4" w:space="0" w:color="auto"/>
            </w:tcBorders>
            <w:shd w:val="clear" w:color="000000" w:fill="FFFFFF"/>
            <w:vAlign w:val="center"/>
            <w:hideMark/>
          </w:tcPr>
          <w:p w:rsidR="006B3FC1" w:rsidRDefault="006B3FC1">
            <w:pPr>
              <w:jc w:val="center"/>
              <w:rPr>
                <w:rFonts w:ascii="Calibri" w:hAnsi="Calibri" w:cs="Calibri"/>
                <w:b/>
                <w:bCs/>
                <w:sz w:val="14"/>
                <w:szCs w:val="14"/>
              </w:rPr>
            </w:pPr>
            <w:r>
              <w:rPr>
                <w:rFonts w:ascii="Calibri" w:hAnsi="Calibri" w:cs="Calibri"/>
                <w:b/>
                <w:bCs/>
                <w:sz w:val="14"/>
                <w:szCs w:val="14"/>
              </w:rPr>
              <w:t xml:space="preserve"> </w:t>
            </w:r>
            <w:r>
              <w:rPr>
                <w:rFonts w:ascii="Sylfaen" w:hAnsi="Sylfaen" w:cs="Sylfaen"/>
                <w:b/>
                <w:bCs/>
                <w:sz w:val="14"/>
                <w:szCs w:val="14"/>
              </w:rPr>
              <w:t>ნაშთი</w:t>
            </w:r>
            <w:r>
              <w:rPr>
                <w:rFonts w:ascii="Calibri" w:hAnsi="Calibri" w:cs="Calibri"/>
                <w:b/>
                <w:bCs/>
                <w:sz w:val="14"/>
                <w:szCs w:val="14"/>
              </w:rPr>
              <w:t xml:space="preserve"> </w:t>
            </w:r>
            <w:r>
              <w:rPr>
                <w:rFonts w:ascii="Sylfaen" w:hAnsi="Sylfaen" w:cs="Sylfaen"/>
                <w:b/>
                <w:bCs/>
                <w:sz w:val="14"/>
                <w:szCs w:val="14"/>
              </w:rPr>
              <w:t>ათასი</w:t>
            </w:r>
            <w:r>
              <w:rPr>
                <w:rFonts w:ascii="Calibri" w:hAnsi="Calibri" w:cs="Calibri"/>
                <w:b/>
                <w:bCs/>
                <w:sz w:val="14"/>
                <w:szCs w:val="14"/>
              </w:rPr>
              <w:t xml:space="preserve">     </w:t>
            </w:r>
            <w:r>
              <w:rPr>
                <w:rFonts w:ascii="Sylfaen" w:hAnsi="Sylfaen" w:cs="Sylfaen"/>
                <w:b/>
                <w:bCs/>
                <w:sz w:val="14"/>
                <w:szCs w:val="14"/>
              </w:rPr>
              <w:t>აშშ</w:t>
            </w:r>
            <w:r>
              <w:rPr>
                <w:rFonts w:ascii="Calibri" w:hAnsi="Calibri" w:cs="Calibri"/>
                <w:b/>
                <w:bCs/>
                <w:sz w:val="14"/>
                <w:szCs w:val="14"/>
              </w:rPr>
              <w:t xml:space="preserve"> </w:t>
            </w:r>
            <w:r>
              <w:rPr>
                <w:rFonts w:ascii="Sylfaen" w:hAnsi="Sylfaen" w:cs="Sylfaen"/>
                <w:b/>
                <w:bCs/>
                <w:sz w:val="14"/>
                <w:szCs w:val="14"/>
              </w:rPr>
              <w:t>დოლარი</w:t>
            </w:r>
            <w:r>
              <w:rPr>
                <w:rFonts w:ascii="Calibri" w:hAnsi="Calibri" w:cs="Calibri"/>
                <w:b/>
                <w:bCs/>
                <w:sz w:val="14"/>
                <w:szCs w:val="14"/>
              </w:rPr>
              <w:t xml:space="preserve"> </w:t>
            </w:r>
          </w:p>
        </w:tc>
        <w:tc>
          <w:tcPr>
            <w:tcW w:w="588" w:type="pct"/>
            <w:tcBorders>
              <w:top w:val="single" w:sz="4" w:space="0" w:color="auto"/>
            </w:tcBorders>
            <w:shd w:val="clear" w:color="000000" w:fill="FFFFFF"/>
            <w:vAlign w:val="center"/>
            <w:hideMark/>
          </w:tcPr>
          <w:p w:rsidR="006B3FC1" w:rsidRDefault="006B3FC1">
            <w:pPr>
              <w:jc w:val="center"/>
              <w:rPr>
                <w:rFonts w:ascii="Calibri" w:hAnsi="Calibri" w:cs="Calibri"/>
                <w:b/>
                <w:bCs/>
                <w:sz w:val="14"/>
                <w:szCs w:val="14"/>
              </w:rPr>
            </w:pPr>
            <w:r>
              <w:rPr>
                <w:rFonts w:ascii="Calibri" w:hAnsi="Calibri" w:cs="Calibri"/>
                <w:b/>
                <w:bCs/>
                <w:sz w:val="14"/>
                <w:szCs w:val="14"/>
              </w:rPr>
              <w:t xml:space="preserve"> </w:t>
            </w:r>
            <w:r>
              <w:rPr>
                <w:rFonts w:ascii="Sylfaen" w:hAnsi="Sylfaen" w:cs="Sylfaen"/>
                <w:b/>
                <w:bCs/>
                <w:sz w:val="14"/>
                <w:szCs w:val="14"/>
              </w:rPr>
              <w:t>ნაშთი</w:t>
            </w:r>
            <w:r>
              <w:rPr>
                <w:rFonts w:ascii="Calibri" w:hAnsi="Calibri" w:cs="Calibri"/>
                <w:b/>
                <w:bCs/>
                <w:sz w:val="14"/>
                <w:szCs w:val="14"/>
              </w:rPr>
              <w:t xml:space="preserve"> </w:t>
            </w:r>
            <w:r>
              <w:rPr>
                <w:rFonts w:ascii="Sylfaen" w:hAnsi="Sylfaen" w:cs="Sylfaen"/>
                <w:b/>
                <w:bCs/>
                <w:sz w:val="14"/>
                <w:szCs w:val="14"/>
              </w:rPr>
              <w:t>ათასი</w:t>
            </w:r>
            <w:r>
              <w:rPr>
                <w:rFonts w:ascii="Calibri" w:hAnsi="Calibri" w:cs="Calibri"/>
                <w:b/>
                <w:bCs/>
                <w:sz w:val="14"/>
                <w:szCs w:val="14"/>
              </w:rPr>
              <w:t xml:space="preserve">   </w:t>
            </w:r>
            <w:r>
              <w:rPr>
                <w:rFonts w:ascii="Sylfaen" w:hAnsi="Sylfaen" w:cs="Sylfaen"/>
                <w:b/>
                <w:bCs/>
                <w:sz w:val="14"/>
                <w:szCs w:val="14"/>
              </w:rPr>
              <w:t>ლარი</w:t>
            </w:r>
            <w:r>
              <w:rPr>
                <w:rFonts w:ascii="Calibri" w:hAnsi="Calibri" w:cs="Calibri"/>
                <w:b/>
                <w:bCs/>
                <w:sz w:val="14"/>
                <w:szCs w:val="14"/>
              </w:rPr>
              <w:t xml:space="preserve"> </w:t>
            </w:r>
          </w:p>
        </w:tc>
        <w:tc>
          <w:tcPr>
            <w:tcW w:w="596" w:type="pct"/>
            <w:tcBorders>
              <w:top w:val="single" w:sz="4" w:space="0" w:color="auto"/>
            </w:tcBorders>
            <w:shd w:val="clear" w:color="000000" w:fill="FFFFFF"/>
            <w:vAlign w:val="center"/>
            <w:hideMark/>
          </w:tcPr>
          <w:p w:rsidR="006B3FC1" w:rsidRDefault="006B3FC1">
            <w:pPr>
              <w:jc w:val="center"/>
              <w:rPr>
                <w:rFonts w:ascii="Calibri" w:hAnsi="Calibri" w:cs="Calibri"/>
                <w:b/>
                <w:bCs/>
                <w:sz w:val="14"/>
                <w:szCs w:val="14"/>
              </w:rPr>
            </w:pPr>
            <w:r>
              <w:rPr>
                <w:rFonts w:ascii="Calibri" w:hAnsi="Calibri" w:cs="Calibri"/>
                <w:b/>
                <w:bCs/>
                <w:sz w:val="14"/>
                <w:szCs w:val="14"/>
              </w:rPr>
              <w:t xml:space="preserve"> </w:t>
            </w:r>
            <w:r>
              <w:rPr>
                <w:rFonts w:ascii="Sylfaen" w:hAnsi="Sylfaen" w:cs="Sylfaen"/>
                <w:b/>
                <w:bCs/>
                <w:sz w:val="14"/>
                <w:szCs w:val="14"/>
              </w:rPr>
              <w:t>საპროცენტო</w:t>
            </w:r>
            <w:r>
              <w:rPr>
                <w:rFonts w:ascii="Calibri" w:hAnsi="Calibri" w:cs="Calibri"/>
                <w:b/>
                <w:bCs/>
                <w:sz w:val="14"/>
                <w:szCs w:val="14"/>
              </w:rPr>
              <w:t xml:space="preserve"> </w:t>
            </w:r>
            <w:r>
              <w:rPr>
                <w:rFonts w:ascii="Sylfaen" w:hAnsi="Sylfaen" w:cs="Sylfaen"/>
                <w:b/>
                <w:bCs/>
                <w:sz w:val="14"/>
                <w:szCs w:val="14"/>
              </w:rPr>
              <w:t>განაკვეთი</w:t>
            </w:r>
            <w:r>
              <w:rPr>
                <w:rFonts w:ascii="Calibri" w:hAnsi="Calibri" w:cs="Calibri"/>
                <w:b/>
                <w:bCs/>
                <w:sz w:val="14"/>
                <w:szCs w:val="14"/>
              </w:rPr>
              <w:t xml:space="preserve"> </w:t>
            </w:r>
          </w:p>
        </w:tc>
        <w:tc>
          <w:tcPr>
            <w:tcW w:w="512" w:type="pct"/>
            <w:tcBorders>
              <w:top w:val="single" w:sz="4" w:space="0" w:color="auto"/>
            </w:tcBorders>
            <w:shd w:val="clear" w:color="000000" w:fill="FFFFFF"/>
            <w:hideMark/>
          </w:tcPr>
          <w:p w:rsidR="006B3FC1" w:rsidRDefault="006B3FC1">
            <w:pPr>
              <w:jc w:val="center"/>
              <w:rPr>
                <w:rFonts w:ascii="Calibri" w:hAnsi="Calibri" w:cs="Calibri"/>
                <w:b/>
                <w:bCs/>
                <w:sz w:val="14"/>
                <w:szCs w:val="14"/>
              </w:rPr>
            </w:pPr>
            <w:r>
              <w:rPr>
                <w:rFonts w:ascii="Calibri" w:hAnsi="Calibri" w:cs="Calibri"/>
                <w:b/>
                <w:bCs/>
                <w:sz w:val="14"/>
                <w:szCs w:val="14"/>
              </w:rPr>
              <w:t xml:space="preserve"> </w:t>
            </w:r>
            <w:r>
              <w:rPr>
                <w:rFonts w:ascii="Sylfaen" w:hAnsi="Sylfaen" w:cs="Sylfaen"/>
                <w:b/>
                <w:bCs/>
                <w:sz w:val="14"/>
                <w:szCs w:val="14"/>
              </w:rPr>
              <w:t>საპროცენტო</w:t>
            </w:r>
            <w:r>
              <w:rPr>
                <w:rFonts w:ascii="Calibri" w:hAnsi="Calibri" w:cs="Calibri"/>
                <w:b/>
                <w:bCs/>
                <w:sz w:val="14"/>
                <w:szCs w:val="14"/>
              </w:rPr>
              <w:t xml:space="preserve"> </w:t>
            </w:r>
            <w:r>
              <w:rPr>
                <w:rFonts w:ascii="Sylfaen" w:hAnsi="Sylfaen" w:cs="Sylfaen"/>
                <w:b/>
                <w:bCs/>
                <w:sz w:val="14"/>
                <w:szCs w:val="14"/>
              </w:rPr>
              <w:t>განაკვეთი</w:t>
            </w:r>
            <w:r>
              <w:rPr>
                <w:rFonts w:ascii="Calibri" w:hAnsi="Calibri" w:cs="Calibri"/>
                <w:b/>
                <w:bCs/>
                <w:sz w:val="14"/>
                <w:szCs w:val="14"/>
              </w:rPr>
              <w:t xml:space="preserve"> 31.12.2018 </w:t>
            </w:r>
          </w:p>
        </w:tc>
        <w:tc>
          <w:tcPr>
            <w:tcW w:w="588" w:type="pct"/>
            <w:tcBorders>
              <w:top w:val="single" w:sz="4" w:space="0" w:color="auto"/>
              <w:right w:val="single" w:sz="4" w:space="0" w:color="auto"/>
            </w:tcBorders>
            <w:shd w:val="clear" w:color="000000" w:fill="FFFFFF"/>
            <w:vAlign w:val="bottom"/>
            <w:hideMark/>
          </w:tcPr>
          <w:p w:rsidR="006B3FC1" w:rsidRDefault="006B3FC1">
            <w:pPr>
              <w:jc w:val="center"/>
              <w:rPr>
                <w:rFonts w:ascii="Calibri" w:hAnsi="Calibri" w:cs="Calibri"/>
                <w:b/>
                <w:bCs/>
                <w:sz w:val="14"/>
                <w:szCs w:val="14"/>
              </w:rPr>
            </w:pPr>
            <w:r>
              <w:rPr>
                <w:rFonts w:ascii="Calibri" w:hAnsi="Calibri" w:cs="Calibri"/>
                <w:b/>
                <w:bCs/>
                <w:sz w:val="14"/>
                <w:szCs w:val="14"/>
              </w:rPr>
              <w:t xml:space="preserve"> </w:t>
            </w:r>
            <w:r>
              <w:rPr>
                <w:rFonts w:ascii="Sylfaen" w:hAnsi="Sylfaen" w:cs="Sylfaen"/>
                <w:b/>
                <w:bCs/>
                <w:sz w:val="14"/>
                <w:szCs w:val="14"/>
              </w:rPr>
              <w:t>შეწონილი</w:t>
            </w:r>
            <w:r>
              <w:rPr>
                <w:rFonts w:ascii="Calibri" w:hAnsi="Calibri" w:cs="Calibri"/>
                <w:b/>
                <w:bCs/>
                <w:sz w:val="14"/>
                <w:szCs w:val="14"/>
              </w:rPr>
              <w:t xml:space="preserve"> </w:t>
            </w:r>
            <w:r>
              <w:rPr>
                <w:rFonts w:ascii="Sylfaen" w:hAnsi="Sylfaen" w:cs="Sylfaen"/>
                <w:b/>
                <w:bCs/>
                <w:sz w:val="14"/>
                <w:szCs w:val="14"/>
              </w:rPr>
              <w:t>საპროცენტო</w:t>
            </w:r>
            <w:r>
              <w:rPr>
                <w:rFonts w:ascii="Calibri" w:hAnsi="Calibri" w:cs="Calibri"/>
                <w:b/>
                <w:bCs/>
                <w:sz w:val="14"/>
                <w:szCs w:val="14"/>
              </w:rPr>
              <w:t xml:space="preserve"> </w:t>
            </w:r>
            <w:r>
              <w:rPr>
                <w:rFonts w:ascii="Sylfaen" w:hAnsi="Sylfaen" w:cs="Sylfaen"/>
                <w:b/>
                <w:bCs/>
                <w:sz w:val="14"/>
                <w:szCs w:val="14"/>
              </w:rPr>
              <w:t>განაკვეთი</w:t>
            </w:r>
            <w:r>
              <w:rPr>
                <w:rFonts w:ascii="Calibri" w:hAnsi="Calibri" w:cs="Calibri"/>
                <w:b/>
                <w:bCs/>
                <w:sz w:val="14"/>
                <w:szCs w:val="14"/>
              </w:rPr>
              <w:t xml:space="preserve"> </w:t>
            </w:r>
          </w:p>
        </w:tc>
      </w:tr>
      <w:tr w:rsidR="006B3FC1" w:rsidTr="00607DFD">
        <w:trPr>
          <w:trHeight w:hRule="exact" w:val="341"/>
        </w:trPr>
        <w:tc>
          <w:tcPr>
            <w:tcW w:w="2053" w:type="pct"/>
            <w:gridSpan w:val="2"/>
            <w:tcBorders>
              <w:left w:val="single" w:sz="4" w:space="0" w:color="auto"/>
            </w:tcBorders>
            <w:shd w:val="clear" w:color="000000" w:fill="FFFFFF"/>
            <w:vAlign w:val="center"/>
            <w:hideMark/>
          </w:tcPr>
          <w:p w:rsidR="006B3FC1" w:rsidRDefault="006B3FC1">
            <w:pPr>
              <w:rPr>
                <w:rFonts w:ascii="Calibri" w:hAnsi="Calibri" w:cs="Calibri"/>
                <w:b/>
                <w:bCs/>
                <w:i/>
                <w:iCs/>
                <w:sz w:val="16"/>
                <w:szCs w:val="16"/>
              </w:rPr>
            </w:pPr>
            <w:r>
              <w:rPr>
                <w:rFonts w:ascii="Sylfaen" w:hAnsi="Sylfaen" w:cs="Sylfaen"/>
                <w:b/>
                <w:bCs/>
                <w:i/>
                <w:iCs/>
                <w:sz w:val="16"/>
                <w:szCs w:val="16"/>
              </w:rPr>
              <w:t>სახელმწიფო</w:t>
            </w:r>
            <w:r>
              <w:rPr>
                <w:rFonts w:ascii="Calibri" w:hAnsi="Calibri" w:cs="Calibri"/>
                <w:b/>
                <w:bCs/>
                <w:i/>
                <w:iCs/>
                <w:sz w:val="16"/>
                <w:szCs w:val="16"/>
              </w:rPr>
              <w:t xml:space="preserve"> </w:t>
            </w:r>
            <w:r>
              <w:rPr>
                <w:rFonts w:ascii="Sylfaen" w:hAnsi="Sylfaen" w:cs="Sylfaen"/>
                <w:b/>
                <w:bCs/>
                <w:i/>
                <w:iCs/>
                <w:sz w:val="16"/>
                <w:szCs w:val="16"/>
              </w:rPr>
              <w:t>საგარეო</w:t>
            </w:r>
            <w:r>
              <w:rPr>
                <w:rFonts w:ascii="Calibri" w:hAnsi="Calibri" w:cs="Calibri"/>
                <w:b/>
                <w:bCs/>
                <w:i/>
                <w:iCs/>
                <w:sz w:val="16"/>
                <w:szCs w:val="16"/>
              </w:rPr>
              <w:t xml:space="preserve"> </w:t>
            </w:r>
            <w:r>
              <w:rPr>
                <w:rFonts w:ascii="Sylfaen" w:hAnsi="Sylfaen" w:cs="Sylfaen"/>
                <w:b/>
                <w:bCs/>
                <w:i/>
                <w:iCs/>
                <w:sz w:val="16"/>
                <w:szCs w:val="16"/>
              </w:rPr>
              <w:t>ვალი</w:t>
            </w:r>
          </w:p>
        </w:tc>
        <w:tc>
          <w:tcPr>
            <w:tcW w:w="662" w:type="pct"/>
            <w:shd w:val="clear" w:color="000000" w:fill="FFFFFF"/>
            <w:vAlign w:val="center"/>
            <w:hideMark/>
          </w:tcPr>
          <w:p w:rsidR="006B3FC1" w:rsidRDefault="006B3FC1">
            <w:pPr>
              <w:rPr>
                <w:rFonts w:ascii="Calibri" w:hAnsi="Calibri" w:cs="Calibri"/>
                <w:b/>
                <w:bCs/>
                <w:i/>
                <w:iCs/>
                <w:sz w:val="16"/>
                <w:szCs w:val="16"/>
              </w:rPr>
            </w:pPr>
            <w:r>
              <w:rPr>
                <w:rFonts w:ascii="Calibri" w:hAnsi="Calibri" w:cs="Calibri"/>
                <w:b/>
                <w:bCs/>
                <w:i/>
                <w:iCs/>
                <w:sz w:val="16"/>
                <w:szCs w:val="16"/>
              </w:rPr>
              <w:t xml:space="preserve">           5 434 092 </w:t>
            </w:r>
          </w:p>
        </w:tc>
        <w:tc>
          <w:tcPr>
            <w:tcW w:w="588" w:type="pct"/>
            <w:shd w:val="clear" w:color="000000" w:fill="FFFFFF"/>
            <w:vAlign w:val="center"/>
            <w:hideMark/>
          </w:tcPr>
          <w:p w:rsidR="006B3FC1" w:rsidRDefault="006B3FC1">
            <w:pPr>
              <w:rPr>
                <w:rFonts w:ascii="Calibri" w:hAnsi="Calibri" w:cs="Calibri"/>
                <w:b/>
                <w:bCs/>
                <w:i/>
                <w:iCs/>
                <w:sz w:val="16"/>
                <w:szCs w:val="16"/>
              </w:rPr>
            </w:pPr>
            <w:r>
              <w:rPr>
                <w:rFonts w:ascii="Calibri" w:hAnsi="Calibri" w:cs="Calibri"/>
                <w:b/>
                <w:bCs/>
                <w:i/>
                <w:iCs/>
                <w:sz w:val="16"/>
                <w:szCs w:val="16"/>
              </w:rPr>
              <w:t xml:space="preserve">      14 544 890 </w:t>
            </w:r>
          </w:p>
        </w:tc>
        <w:tc>
          <w:tcPr>
            <w:tcW w:w="596" w:type="pct"/>
            <w:shd w:val="clear" w:color="000000" w:fill="FFFFFF"/>
            <w:vAlign w:val="center"/>
            <w:hideMark/>
          </w:tcPr>
          <w:p w:rsidR="006B3FC1" w:rsidRDefault="006B3FC1" w:rsidP="006B3FC1">
            <w:pPr>
              <w:rPr>
                <w:rFonts w:ascii="Calibri" w:hAnsi="Calibri" w:cs="Calibri"/>
                <w:b/>
                <w:bCs/>
                <w:i/>
                <w:iCs/>
                <w:color w:val="C00000"/>
                <w:sz w:val="16"/>
                <w:szCs w:val="16"/>
              </w:rPr>
            </w:pPr>
          </w:p>
        </w:tc>
        <w:tc>
          <w:tcPr>
            <w:tcW w:w="512" w:type="pct"/>
            <w:shd w:val="clear" w:color="000000" w:fill="FFFFFF"/>
            <w:vAlign w:val="center"/>
            <w:hideMark/>
          </w:tcPr>
          <w:p w:rsidR="006B3FC1" w:rsidRDefault="006B3FC1">
            <w:pPr>
              <w:jc w:val="center"/>
              <w:rPr>
                <w:rFonts w:ascii="Calibri" w:hAnsi="Calibri" w:cs="Calibri"/>
                <w:b/>
                <w:bCs/>
                <w:i/>
                <w:iCs/>
                <w:color w:val="C00000"/>
                <w:sz w:val="16"/>
                <w:szCs w:val="16"/>
              </w:rPr>
            </w:pPr>
            <w:r>
              <w:rPr>
                <w:rFonts w:ascii="Calibri" w:hAnsi="Calibri" w:cs="Calibri"/>
                <w:b/>
                <w:bCs/>
                <w:i/>
                <w:iCs/>
                <w:color w:val="C00000"/>
                <w:sz w:val="16"/>
                <w:szCs w:val="16"/>
              </w:rPr>
              <w:t> </w:t>
            </w:r>
          </w:p>
        </w:tc>
        <w:tc>
          <w:tcPr>
            <w:tcW w:w="588" w:type="pct"/>
            <w:tcBorders>
              <w:right w:val="single" w:sz="4" w:space="0" w:color="auto"/>
            </w:tcBorders>
            <w:shd w:val="clear" w:color="000000" w:fill="FFFFFF"/>
            <w:vAlign w:val="center"/>
            <w:hideMark/>
          </w:tcPr>
          <w:p w:rsidR="006B3FC1" w:rsidRDefault="006B3FC1">
            <w:pPr>
              <w:jc w:val="center"/>
              <w:rPr>
                <w:rFonts w:ascii="Calibri" w:hAnsi="Calibri" w:cs="Calibri"/>
                <w:b/>
                <w:bCs/>
                <w:i/>
                <w:iCs/>
                <w:color w:val="C00000"/>
                <w:sz w:val="16"/>
                <w:szCs w:val="16"/>
              </w:rPr>
            </w:pPr>
            <w:r>
              <w:rPr>
                <w:rFonts w:ascii="Calibri" w:hAnsi="Calibri" w:cs="Calibri"/>
                <w:b/>
                <w:bCs/>
                <w:i/>
                <w:iCs/>
                <w:color w:val="C00000"/>
                <w:sz w:val="16"/>
                <w:szCs w:val="16"/>
              </w:rPr>
              <w:t> </w:t>
            </w:r>
          </w:p>
        </w:tc>
      </w:tr>
      <w:tr w:rsidR="006B3FC1" w:rsidTr="00607DFD">
        <w:trPr>
          <w:trHeight w:hRule="exact" w:val="221"/>
        </w:trPr>
        <w:tc>
          <w:tcPr>
            <w:tcW w:w="2053" w:type="pct"/>
            <w:gridSpan w:val="2"/>
            <w:tcBorders>
              <w:left w:val="single" w:sz="4" w:space="0" w:color="auto"/>
            </w:tcBorders>
            <w:shd w:val="clear" w:color="000000" w:fill="BFBFBF"/>
            <w:vAlign w:val="center"/>
            <w:hideMark/>
          </w:tcPr>
          <w:p w:rsidR="006B3FC1" w:rsidRDefault="006B3FC1">
            <w:pPr>
              <w:rPr>
                <w:rFonts w:ascii="Calibri" w:hAnsi="Calibri" w:cs="Calibri"/>
                <w:b/>
                <w:bCs/>
                <w:sz w:val="16"/>
                <w:szCs w:val="16"/>
              </w:rPr>
            </w:pPr>
            <w:r>
              <w:rPr>
                <w:rFonts w:ascii="Sylfaen" w:hAnsi="Sylfaen" w:cs="Sylfaen"/>
                <w:b/>
                <w:bCs/>
                <w:sz w:val="16"/>
                <w:szCs w:val="16"/>
              </w:rPr>
              <w:t>მრავალმხრივი</w:t>
            </w:r>
            <w:r>
              <w:rPr>
                <w:rFonts w:ascii="Calibri" w:hAnsi="Calibri" w:cs="Calibri"/>
                <w:b/>
                <w:bCs/>
                <w:sz w:val="16"/>
                <w:szCs w:val="16"/>
              </w:rPr>
              <w:t xml:space="preserve"> </w:t>
            </w:r>
            <w:r>
              <w:rPr>
                <w:rFonts w:ascii="Sylfaen" w:hAnsi="Sylfaen" w:cs="Sylfaen"/>
                <w:b/>
                <w:bCs/>
                <w:sz w:val="16"/>
                <w:szCs w:val="16"/>
              </w:rPr>
              <w:t>კრედიტორები</w:t>
            </w:r>
          </w:p>
        </w:tc>
        <w:tc>
          <w:tcPr>
            <w:tcW w:w="662" w:type="pct"/>
            <w:shd w:val="clear" w:color="000000" w:fill="BFBFBF"/>
            <w:noWrap/>
            <w:vAlign w:val="center"/>
            <w:hideMark/>
          </w:tcPr>
          <w:p w:rsidR="006B3FC1" w:rsidRDefault="006B3FC1">
            <w:pPr>
              <w:rPr>
                <w:rFonts w:ascii="Calibri" w:hAnsi="Calibri" w:cs="Calibri"/>
                <w:b/>
                <w:bCs/>
                <w:sz w:val="16"/>
                <w:szCs w:val="16"/>
              </w:rPr>
            </w:pPr>
            <w:r>
              <w:rPr>
                <w:rFonts w:ascii="Calibri" w:hAnsi="Calibri" w:cs="Calibri"/>
                <w:b/>
                <w:bCs/>
                <w:sz w:val="16"/>
                <w:szCs w:val="16"/>
              </w:rPr>
              <w:t xml:space="preserve">            4 005 732 </w:t>
            </w:r>
          </w:p>
        </w:tc>
        <w:tc>
          <w:tcPr>
            <w:tcW w:w="588" w:type="pct"/>
            <w:shd w:val="clear" w:color="000000" w:fill="BFBFBF"/>
            <w:noWrap/>
            <w:vAlign w:val="center"/>
            <w:hideMark/>
          </w:tcPr>
          <w:p w:rsidR="006B3FC1" w:rsidRDefault="006B3FC1">
            <w:pPr>
              <w:rPr>
                <w:rFonts w:ascii="Calibri" w:hAnsi="Calibri" w:cs="Calibri"/>
                <w:b/>
                <w:bCs/>
                <w:sz w:val="16"/>
                <w:szCs w:val="16"/>
              </w:rPr>
            </w:pPr>
            <w:r>
              <w:rPr>
                <w:rFonts w:ascii="Calibri" w:hAnsi="Calibri" w:cs="Calibri"/>
                <w:b/>
                <w:bCs/>
                <w:sz w:val="16"/>
                <w:szCs w:val="16"/>
              </w:rPr>
              <w:t xml:space="preserve">       10 721 742 </w:t>
            </w:r>
          </w:p>
        </w:tc>
        <w:tc>
          <w:tcPr>
            <w:tcW w:w="596" w:type="pct"/>
            <w:shd w:val="clear" w:color="000000" w:fill="BFBFBF"/>
            <w:noWrap/>
            <w:vAlign w:val="center"/>
            <w:hideMark/>
          </w:tcPr>
          <w:p w:rsidR="006B3FC1" w:rsidRDefault="006B3FC1">
            <w:pPr>
              <w:jc w:val="center"/>
              <w:rPr>
                <w:rFonts w:ascii="Calibri" w:hAnsi="Calibri" w:cs="Calibri"/>
                <w:b/>
                <w:bCs/>
                <w:sz w:val="16"/>
                <w:szCs w:val="16"/>
              </w:rPr>
            </w:pPr>
            <w:r>
              <w:rPr>
                <w:rFonts w:ascii="Calibri" w:hAnsi="Calibri" w:cs="Calibri"/>
                <w:b/>
                <w:bCs/>
                <w:sz w:val="16"/>
                <w:szCs w:val="16"/>
              </w:rPr>
              <w:t> </w:t>
            </w:r>
          </w:p>
        </w:tc>
        <w:tc>
          <w:tcPr>
            <w:tcW w:w="512" w:type="pct"/>
            <w:shd w:val="clear" w:color="000000" w:fill="BFBFBF"/>
            <w:noWrap/>
            <w:vAlign w:val="center"/>
            <w:hideMark/>
          </w:tcPr>
          <w:p w:rsidR="006B3FC1" w:rsidRDefault="006B3FC1">
            <w:pPr>
              <w:jc w:val="center"/>
              <w:rPr>
                <w:rFonts w:ascii="Calibri" w:hAnsi="Calibri" w:cs="Calibri"/>
                <w:b/>
                <w:bCs/>
                <w:sz w:val="16"/>
                <w:szCs w:val="16"/>
              </w:rPr>
            </w:pPr>
            <w:r>
              <w:rPr>
                <w:rFonts w:ascii="Calibri" w:hAnsi="Calibri" w:cs="Calibri"/>
                <w:b/>
                <w:bCs/>
                <w:sz w:val="16"/>
                <w:szCs w:val="16"/>
              </w:rPr>
              <w:t> </w:t>
            </w:r>
          </w:p>
        </w:tc>
        <w:tc>
          <w:tcPr>
            <w:tcW w:w="588" w:type="pct"/>
            <w:tcBorders>
              <w:right w:val="single" w:sz="4" w:space="0" w:color="auto"/>
            </w:tcBorders>
            <w:shd w:val="clear" w:color="000000" w:fill="BFBFBF"/>
            <w:noWrap/>
            <w:vAlign w:val="center"/>
            <w:hideMark/>
          </w:tcPr>
          <w:p w:rsidR="006B3FC1" w:rsidRDefault="006B3FC1">
            <w:pPr>
              <w:jc w:val="center"/>
              <w:rPr>
                <w:rFonts w:ascii="Calibri" w:hAnsi="Calibri" w:cs="Calibri"/>
                <w:b/>
                <w:bCs/>
                <w:sz w:val="16"/>
                <w:szCs w:val="16"/>
              </w:rPr>
            </w:pPr>
            <w:r>
              <w:rPr>
                <w:rFonts w:ascii="Calibri" w:hAnsi="Calibri" w:cs="Calibri"/>
                <w:b/>
                <w:bCs/>
                <w:sz w:val="16"/>
                <w:szCs w:val="16"/>
              </w:rPr>
              <w:t> </w:t>
            </w:r>
          </w:p>
        </w:tc>
      </w:tr>
      <w:tr w:rsidR="006B3FC1" w:rsidTr="00607DFD">
        <w:trPr>
          <w:trHeight w:hRule="exact" w:val="221"/>
        </w:trPr>
        <w:tc>
          <w:tcPr>
            <w:tcW w:w="1547" w:type="pct"/>
            <w:vMerge w:val="restar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განვითარების</w:t>
            </w:r>
            <w:r>
              <w:rPr>
                <w:rFonts w:ascii="Calibri" w:hAnsi="Calibri" w:cs="Calibri"/>
                <w:sz w:val="16"/>
                <w:szCs w:val="16"/>
              </w:rPr>
              <w:t xml:space="preserve"> </w:t>
            </w:r>
            <w:r>
              <w:rPr>
                <w:rFonts w:ascii="Sylfaen" w:hAnsi="Sylfaen" w:cs="Sylfaen"/>
                <w:sz w:val="16"/>
                <w:szCs w:val="16"/>
              </w:rPr>
              <w:t>საერთაშორისო</w:t>
            </w:r>
            <w:r>
              <w:rPr>
                <w:rFonts w:ascii="Calibri" w:hAnsi="Calibri" w:cs="Calibri"/>
                <w:sz w:val="16"/>
                <w:szCs w:val="16"/>
              </w:rPr>
              <w:t xml:space="preserve"> </w:t>
            </w:r>
            <w:r>
              <w:rPr>
                <w:rFonts w:ascii="Sylfaen" w:hAnsi="Sylfaen" w:cs="Sylfaen"/>
                <w:sz w:val="16"/>
                <w:szCs w:val="16"/>
              </w:rPr>
              <w:t>ასოციაცია</w:t>
            </w:r>
            <w:r>
              <w:rPr>
                <w:rFonts w:ascii="Calibri" w:hAnsi="Calibri" w:cs="Calibri"/>
                <w:sz w:val="16"/>
                <w:szCs w:val="16"/>
              </w:rPr>
              <w:t>(WB - IDA)</w:t>
            </w:r>
          </w:p>
        </w:tc>
        <w:tc>
          <w:tcPr>
            <w:tcW w:w="506" w:type="pct"/>
            <w:vMerge w:val="restar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SDR</w:t>
            </w:r>
          </w:p>
        </w:tc>
        <w:tc>
          <w:tcPr>
            <w:tcW w:w="662" w:type="pct"/>
            <w:shd w:val="clear" w:color="000000" w:fill="FFFFFF"/>
            <w:noWrap/>
            <w:vAlign w:val="center"/>
            <w:hideMark/>
          </w:tcPr>
          <w:p w:rsidR="006B3FC1" w:rsidRDefault="006B3FC1">
            <w:pPr>
              <w:rPr>
                <w:rFonts w:ascii="Calibri" w:hAnsi="Calibri" w:cs="Calibri"/>
                <w:sz w:val="16"/>
                <w:szCs w:val="16"/>
              </w:rPr>
            </w:pPr>
            <w:r>
              <w:rPr>
                <w:rFonts w:ascii="Calibri" w:hAnsi="Calibri" w:cs="Calibri"/>
                <w:sz w:val="16"/>
                <w:szCs w:val="16"/>
              </w:rPr>
              <w:t xml:space="preserve">                797 761 </w:t>
            </w:r>
          </w:p>
        </w:tc>
        <w:tc>
          <w:tcPr>
            <w:tcW w:w="588" w:type="pct"/>
            <w:shd w:val="clear" w:color="000000" w:fill="FFFFFF"/>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2 135 288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0.75%</w:t>
            </w:r>
          </w:p>
        </w:tc>
        <w:tc>
          <w:tcPr>
            <w:tcW w:w="588" w:type="pct"/>
            <w:tcBorders>
              <w:right w:val="single" w:sz="4" w:space="0" w:color="auto"/>
            </w:tcBorders>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0.110%</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257 727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689 831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2.00%</w:t>
            </w:r>
          </w:p>
        </w:tc>
        <w:tc>
          <w:tcPr>
            <w:tcW w:w="588" w:type="pct"/>
            <w:tcBorders>
              <w:right w:val="single" w:sz="4" w:space="0" w:color="auto"/>
            </w:tcBorders>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0.095%</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rsidP="006B3FC1">
            <w:pPr>
              <w:rPr>
                <w:rFonts w:ascii="Calibri" w:hAnsi="Calibri" w:cs="Calibri"/>
                <w:sz w:val="16"/>
                <w:szCs w:val="16"/>
              </w:rPr>
            </w:pPr>
            <w:r>
              <w:rPr>
                <w:rFonts w:ascii="Calibri" w:hAnsi="Calibri" w:cs="Calibri"/>
                <w:sz w:val="16"/>
                <w:szCs w:val="16"/>
              </w:rPr>
              <w:t xml:space="preserve">                    9 521 </w:t>
            </w:r>
          </w:p>
        </w:tc>
        <w:tc>
          <w:tcPr>
            <w:tcW w:w="588" w:type="pct"/>
            <w:shd w:val="clear" w:color="auto" w:fill="auto"/>
            <w:noWrap/>
            <w:vAlign w:val="center"/>
            <w:hideMark/>
          </w:tcPr>
          <w:p w:rsidR="006B3FC1" w:rsidRDefault="006B3FC1" w:rsidP="006B3FC1">
            <w:pPr>
              <w:rPr>
                <w:rFonts w:ascii="Calibri" w:hAnsi="Calibri" w:cs="Calibri"/>
                <w:sz w:val="16"/>
                <w:szCs w:val="16"/>
              </w:rPr>
            </w:pPr>
            <w:r>
              <w:rPr>
                <w:rFonts w:ascii="Calibri" w:hAnsi="Calibri" w:cs="Calibri"/>
                <w:sz w:val="16"/>
                <w:szCs w:val="16"/>
              </w:rPr>
              <w:t xml:space="preserve">               25 485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2.15%</w:t>
            </w:r>
          </w:p>
        </w:tc>
        <w:tc>
          <w:tcPr>
            <w:tcW w:w="588" w:type="pct"/>
            <w:tcBorders>
              <w:right w:val="single" w:sz="4" w:space="0" w:color="auto"/>
            </w:tcBorders>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0.004%</w:t>
            </w:r>
          </w:p>
        </w:tc>
      </w:tr>
      <w:tr w:rsidR="006B3FC1" w:rsidTr="00607DFD">
        <w:trPr>
          <w:trHeight w:hRule="exact" w:val="221"/>
        </w:trPr>
        <w:tc>
          <w:tcPr>
            <w:tcW w:w="1547" w:type="pct"/>
            <w:vMerge w:val="restart"/>
            <w:tcBorders>
              <w:left w:val="single" w:sz="4" w:space="0" w:color="auto"/>
            </w:tcBorders>
            <w:shd w:val="clear" w:color="auto" w:fill="auto"/>
            <w:vAlign w:val="center"/>
            <w:hideMark/>
          </w:tcPr>
          <w:p w:rsidR="006B3FC1" w:rsidRDefault="006B3FC1">
            <w:pPr>
              <w:rPr>
                <w:rFonts w:ascii="Calibri" w:hAnsi="Calibri" w:cs="Calibri"/>
                <w:sz w:val="16"/>
                <w:szCs w:val="16"/>
              </w:rPr>
            </w:pPr>
            <w:r>
              <w:rPr>
                <w:rFonts w:ascii="Sylfaen" w:hAnsi="Sylfaen" w:cs="Sylfaen"/>
                <w:sz w:val="16"/>
                <w:szCs w:val="16"/>
              </w:rPr>
              <w:t>განვითარების</w:t>
            </w:r>
            <w:r>
              <w:rPr>
                <w:rFonts w:ascii="Calibri" w:hAnsi="Calibri" w:cs="Calibri"/>
                <w:sz w:val="16"/>
                <w:szCs w:val="16"/>
              </w:rPr>
              <w:t xml:space="preserve"> </w:t>
            </w:r>
            <w:r>
              <w:rPr>
                <w:rFonts w:ascii="Sylfaen" w:hAnsi="Sylfaen" w:cs="Sylfaen"/>
                <w:sz w:val="16"/>
                <w:szCs w:val="16"/>
              </w:rPr>
              <w:t>საერთაშორისო</w:t>
            </w:r>
            <w:r>
              <w:rPr>
                <w:rFonts w:ascii="Calibri" w:hAnsi="Calibri" w:cs="Calibri"/>
                <w:sz w:val="16"/>
                <w:szCs w:val="16"/>
              </w:rPr>
              <w:t xml:space="preserve"> </w:t>
            </w:r>
            <w:r>
              <w:rPr>
                <w:rFonts w:ascii="Sylfaen" w:hAnsi="Sylfaen" w:cs="Sylfaen"/>
                <w:sz w:val="16"/>
                <w:szCs w:val="16"/>
              </w:rPr>
              <w:t>ასოციაცია</w:t>
            </w:r>
            <w:r>
              <w:rPr>
                <w:rFonts w:ascii="Calibri" w:hAnsi="Calibri" w:cs="Calibri"/>
                <w:sz w:val="16"/>
                <w:szCs w:val="16"/>
              </w:rPr>
              <w:t>(WB - IBRD)</w:t>
            </w:r>
          </w:p>
        </w:tc>
        <w:tc>
          <w:tcPr>
            <w:tcW w:w="506" w:type="pc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EUR</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105 344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281 965 </w:t>
            </w:r>
          </w:p>
        </w:tc>
        <w:tc>
          <w:tcPr>
            <w:tcW w:w="596" w:type="pct"/>
            <w:shd w:val="clear" w:color="000000" w:fill="FFFFFF"/>
            <w:noWrap/>
            <w:vAlign w:val="center"/>
            <w:hideMark/>
          </w:tcPr>
          <w:p w:rsidR="006B3FC1" w:rsidRDefault="006B3FC1">
            <w:pPr>
              <w:jc w:val="center"/>
              <w:rPr>
                <w:rFonts w:ascii="Calibri" w:hAnsi="Calibri" w:cs="Calibri"/>
                <w:sz w:val="12"/>
                <w:szCs w:val="12"/>
              </w:rPr>
            </w:pPr>
            <w:r>
              <w:rPr>
                <w:rFonts w:ascii="Calibri" w:hAnsi="Calibri" w:cs="Calibri"/>
                <w:sz w:val="12"/>
                <w:szCs w:val="12"/>
              </w:rPr>
              <w:t>EURIBOR + Var. Spread</w:t>
            </w: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0.72%</w:t>
            </w:r>
          </w:p>
        </w:tc>
        <w:tc>
          <w:tcPr>
            <w:tcW w:w="588" w:type="pct"/>
            <w:tcBorders>
              <w:right w:val="single" w:sz="4" w:space="0" w:color="auto"/>
            </w:tcBorders>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0.014%</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restar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USD</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180 626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483 464 </w:t>
            </w:r>
          </w:p>
        </w:tc>
        <w:tc>
          <w:tcPr>
            <w:tcW w:w="596" w:type="pct"/>
            <w:vMerge w:val="restar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 xml:space="preserve"> LIBOR + Variable Spread </w:t>
            </w: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2.80%</w:t>
            </w:r>
          </w:p>
        </w:tc>
        <w:tc>
          <w:tcPr>
            <w:tcW w:w="588" w:type="pct"/>
            <w:tcBorders>
              <w:right w:val="single" w:sz="4" w:space="0" w:color="auto"/>
            </w:tcBorders>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0.093%</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47 828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128 018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3.00%</w:t>
            </w:r>
          </w:p>
        </w:tc>
        <w:tc>
          <w:tcPr>
            <w:tcW w:w="588" w:type="pct"/>
            <w:tcBorders>
              <w:right w:val="single" w:sz="4" w:space="0" w:color="auto"/>
            </w:tcBorders>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0.026%</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17 969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48 095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3.19%</w:t>
            </w:r>
          </w:p>
        </w:tc>
        <w:tc>
          <w:tcPr>
            <w:tcW w:w="588" w:type="pct"/>
            <w:tcBorders>
              <w:right w:val="single" w:sz="4" w:space="0" w:color="auto"/>
            </w:tcBorders>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0.011%</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145 922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390 575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3.20%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0.086%</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32 336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86 549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3.25%</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0.019%</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9 737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26 062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3.33%</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0.006%</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46 801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125 267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3.49%</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0.030%</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18 724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50 116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3.55%</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0.012%</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118 764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317 884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3.59%</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0.078%</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120 000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321 192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3.63%</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0.080%</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31 065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83 148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3.78%</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0.022%</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15 077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40 356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3.89%</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0.011%</w:t>
            </w:r>
          </w:p>
        </w:tc>
      </w:tr>
      <w:tr w:rsidR="006B3FC1" w:rsidTr="00607DFD">
        <w:trPr>
          <w:trHeight w:hRule="exact" w:val="221"/>
        </w:trPr>
        <w:tc>
          <w:tcPr>
            <w:tcW w:w="1547" w:type="pct"/>
            <w:vMerge w:val="restar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სოფლის</w:t>
            </w:r>
            <w:r>
              <w:rPr>
                <w:rFonts w:ascii="Calibri" w:hAnsi="Calibri" w:cs="Calibri"/>
                <w:sz w:val="16"/>
                <w:szCs w:val="16"/>
              </w:rPr>
              <w:t xml:space="preserve"> </w:t>
            </w:r>
            <w:r>
              <w:rPr>
                <w:rFonts w:ascii="Sylfaen" w:hAnsi="Sylfaen" w:cs="Sylfaen"/>
                <w:sz w:val="16"/>
                <w:szCs w:val="16"/>
              </w:rPr>
              <w:t>მეურნეობის</w:t>
            </w:r>
            <w:r>
              <w:rPr>
                <w:rFonts w:ascii="Calibri" w:hAnsi="Calibri" w:cs="Calibri"/>
                <w:sz w:val="16"/>
                <w:szCs w:val="16"/>
              </w:rPr>
              <w:t xml:space="preserve"> </w:t>
            </w:r>
            <w:r>
              <w:rPr>
                <w:rFonts w:ascii="Sylfaen" w:hAnsi="Sylfaen" w:cs="Sylfaen"/>
                <w:sz w:val="16"/>
                <w:szCs w:val="16"/>
              </w:rPr>
              <w:t>განვითარების</w:t>
            </w:r>
            <w:r>
              <w:rPr>
                <w:rFonts w:ascii="Calibri" w:hAnsi="Calibri" w:cs="Calibri"/>
                <w:sz w:val="16"/>
                <w:szCs w:val="16"/>
              </w:rPr>
              <w:t xml:space="preserve"> </w:t>
            </w:r>
            <w:r>
              <w:rPr>
                <w:rFonts w:ascii="Sylfaen" w:hAnsi="Sylfaen" w:cs="Sylfaen"/>
                <w:sz w:val="16"/>
                <w:szCs w:val="16"/>
              </w:rPr>
              <w:t>საერთაშორისო</w:t>
            </w:r>
            <w:r>
              <w:rPr>
                <w:rFonts w:ascii="Calibri" w:hAnsi="Calibri" w:cs="Calibri"/>
                <w:sz w:val="16"/>
                <w:szCs w:val="16"/>
              </w:rPr>
              <w:t xml:space="preserve"> </w:t>
            </w:r>
            <w:r>
              <w:rPr>
                <w:rFonts w:ascii="Sylfaen" w:hAnsi="Sylfaen" w:cs="Sylfaen"/>
                <w:sz w:val="16"/>
                <w:szCs w:val="16"/>
              </w:rPr>
              <w:t>ფონდი</w:t>
            </w:r>
            <w:r>
              <w:rPr>
                <w:rFonts w:ascii="Calibri" w:hAnsi="Calibri" w:cs="Calibri"/>
                <w:sz w:val="16"/>
                <w:szCs w:val="16"/>
              </w:rPr>
              <w:t xml:space="preserve"> (IFAD)</w:t>
            </w:r>
          </w:p>
        </w:tc>
        <w:tc>
          <w:tcPr>
            <w:tcW w:w="506" w:type="pct"/>
            <w:vMerge w:val="restar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SDR</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19 143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51 237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0.75%</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0.003%</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6 575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17 598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2.00%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0.002%</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4 625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12 380 </w:t>
            </w:r>
          </w:p>
        </w:tc>
        <w:tc>
          <w:tcPr>
            <w:tcW w:w="596" w:type="pc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(SDR LIBOR + IBRD Variable Spread)/2</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1.27%</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0.001%</w:t>
            </w:r>
          </w:p>
        </w:tc>
      </w:tr>
      <w:tr w:rsidR="006B3FC1" w:rsidTr="00607DFD">
        <w:trPr>
          <w:trHeight w:hRule="exact" w:val="221"/>
        </w:trPr>
        <w:tc>
          <w:tcPr>
            <w:tcW w:w="1547" w:type="pc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საერთაშორისო</w:t>
            </w:r>
            <w:r>
              <w:rPr>
                <w:rFonts w:ascii="Calibri" w:hAnsi="Calibri" w:cs="Calibri"/>
                <w:sz w:val="16"/>
                <w:szCs w:val="16"/>
              </w:rPr>
              <w:t xml:space="preserve"> </w:t>
            </w:r>
            <w:r>
              <w:rPr>
                <w:rFonts w:ascii="Sylfaen" w:hAnsi="Sylfaen" w:cs="Sylfaen"/>
                <w:sz w:val="16"/>
                <w:szCs w:val="16"/>
              </w:rPr>
              <w:t>სავალუტო</w:t>
            </w:r>
            <w:r>
              <w:rPr>
                <w:rFonts w:ascii="Calibri" w:hAnsi="Calibri" w:cs="Calibri"/>
                <w:sz w:val="16"/>
                <w:szCs w:val="16"/>
              </w:rPr>
              <w:t xml:space="preserve"> </w:t>
            </w:r>
            <w:r>
              <w:rPr>
                <w:rFonts w:ascii="Sylfaen" w:hAnsi="Sylfaen" w:cs="Sylfaen"/>
                <w:sz w:val="16"/>
                <w:szCs w:val="16"/>
              </w:rPr>
              <w:t>ფონდი</w:t>
            </w:r>
            <w:r>
              <w:rPr>
                <w:rFonts w:ascii="Calibri" w:hAnsi="Calibri" w:cs="Calibri"/>
                <w:sz w:val="16"/>
                <w:szCs w:val="16"/>
              </w:rPr>
              <w:t xml:space="preserve"> (IMF EFF,NBG)</w:t>
            </w:r>
          </w:p>
        </w:tc>
        <w:tc>
          <w:tcPr>
            <w:tcW w:w="506" w:type="pc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SDR</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166 895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446 711 </w:t>
            </w:r>
          </w:p>
        </w:tc>
        <w:tc>
          <w:tcPr>
            <w:tcW w:w="596" w:type="pc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SDR Rate of Charge</w:t>
            </w: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2.13%</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0.065%</w:t>
            </w:r>
          </w:p>
        </w:tc>
      </w:tr>
      <w:tr w:rsidR="006B3FC1" w:rsidTr="00607DFD">
        <w:trPr>
          <w:trHeight w:hRule="exact" w:val="221"/>
        </w:trPr>
        <w:tc>
          <w:tcPr>
            <w:tcW w:w="1547" w:type="pc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საერთაშორისო</w:t>
            </w:r>
            <w:r>
              <w:rPr>
                <w:rFonts w:ascii="Calibri" w:hAnsi="Calibri" w:cs="Calibri"/>
                <w:sz w:val="16"/>
                <w:szCs w:val="16"/>
              </w:rPr>
              <w:t xml:space="preserve"> </w:t>
            </w:r>
            <w:r>
              <w:rPr>
                <w:rFonts w:ascii="Sylfaen" w:hAnsi="Sylfaen" w:cs="Sylfaen"/>
                <w:sz w:val="16"/>
                <w:szCs w:val="16"/>
              </w:rPr>
              <w:t>სავალუტო</w:t>
            </w:r>
            <w:r>
              <w:rPr>
                <w:rFonts w:ascii="Calibri" w:hAnsi="Calibri" w:cs="Calibri"/>
                <w:sz w:val="16"/>
                <w:szCs w:val="16"/>
              </w:rPr>
              <w:t xml:space="preserve"> </w:t>
            </w:r>
            <w:r>
              <w:rPr>
                <w:rFonts w:ascii="Sylfaen" w:hAnsi="Sylfaen" w:cs="Sylfaen"/>
                <w:sz w:val="16"/>
                <w:szCs w:val="16"/>
              </w:rPr>
              <w:t>ფონდი</w:t>
            </w:r>
            <w:r>
              <w:rPr>
                <w:rFonts w:ascii="Calibri" w:hAnsi="Calibri" w:cs="Calibri"/>
                <w:sz w:val="16"/>
                <w:szCs w:val="16"/>
              </w:rPr>
              <w:t xml:space="preserve"> (SBA )</w:t>
            </w:r>
          </w:p>
        </w:tc>
        <w:tc>
          <w:tcPr>
            <w:tcW w:w="506" w:type="pc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SDR</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48 678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130 291 </w:t>
            </w:r>
          </w:p>
        </w:tc>
        <w:tc>
          <w:tcPr>
            <w:tcW w:w="596" w:type="pc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SDR Rate of Charge</w:t>
            </w: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2.13%</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0.019%</w:t>
            </w:r>
          </w:p>
        </w:tc>
      </w:tr>
      <w:tr w:rsidR="006B3FC1" w:rsidTr="00607DFD">
        <w:trPr>
          <w:trHeight w:hRule="exact" w:val="221"/>
        </w:trPr>
        <w:tc>
          <w:tcPr>
            <w:tcW w:w="1547" w:type="pct"/>
            <w:vMerge w:val="restar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ევროგაერთიანება</w:t>
            </w:r>
            <w:r>
              <w:rPr>
                <w:rFonts w:ascii="Calibri" w:hAnsi="Calibri" w:cs="Calibri"/>
                <w:sz w:val="16"/>
                <w:szCs w:val="16"/>
              </w:rPr>
              <w:t xml:space="preserve"> </w:t>
            </w:r>
            <w:r>
              <w:rPr>
                <w:rFonts w:ascii="Calibri" w:hAnsi="Calibri" w:cs="Calibri"/>
                <w:color w:val="000000"/>
                <w:sz w:val="16"/>
                <w:szCs w:val="16"/>
              </w:rPr>
              <w:t>(EU)</w:t>
            </w:r>
          </w:p>
        </w:tc>
        <w:tc>
          <w:tcPr>
            <w:tcW w:w="506" w:type="pct"/>
            <w:vMerge w:val="restar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EUR</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11 470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30 701 </w:t>
            </w:r>
          </w:p>
        </w:tc>
        <w:tc>
          <w:tcPr>
            <w:tcW w:w="596"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0.52%</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0.001%</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14 911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39 911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1.16%</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0.003%</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17 205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46 051 </w:t>
            </w:r>
          </w:p>
        </w:tc>
        <w:tc>
          <w:tcPr>
            <w:tcW w:w="596"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1.25%</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0.004%</w:t>
            </w:r>
          </w:p>
        </w:tc>
      </w:tr>
      <w:tr w:rsidR="006B3FC1" w:rsidTr="00607DFD">
        <w:trPr>
          <w:trHeight w:hRule="exact" w:val="221"/>
        </w:trPr>
        <w:tc>
          <w:tcPr>
            <w:tcW w:w="1547" w:type="pc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ევროპის</w:t>
            </w:r>
            <w:r>
              <w:rPr>
                <w:rFonts w:ascii="Calibri" w:hAnsi="Calibri" w:cs="Calibri"/>
                <w:sz w:val="16"/>
                <w:szCs w:val="16"/>
              </w:rPr>
              <w:t xml:space="preserve"> </w:t>
            </w:r>
            <w:r>
              <w:rPr>
                <w:rFonts w:ascii="Sylfaen" w:hAnsi="Sylfaen" w:cs="Sylfaen"/>
                <w:sz w:val="16"/>
                <w:szCs w:val="16"/>
              </w:rPr>
              <w:t>რეკონსტრუქციის</w:t>
            </w:r>
            <w:r>
              <w:rPr>
                <w:rFonts w:ascii="Calibri" w:hAnsi="Calibri" w:cs="Calibri"/>
                <w:sz w:val="16"/>
                <w:szCs w:val="16"/>
              </w:rPr>
              <w:t xml:space="preserve"> </w:t>
            </w:r>
            <w:r>
              <w:rPr>
                <w:rFonts w:ascii="Sylfaen" w:hAnsi="Sylfaen" w:cs="Sylfaen"/>
                <w:sz w:val="16"/>
                <w:szCs w:val="16"/>
              </w:rPr>
              <w:t>და</w:t>
            </w:r>
            <w:r>
              <w:rPr>
                <w:rFonts w:ascii="Calibri" w:hAnsi="Calibri" w:cs="Calibri"/>
                <w:sz w:val="16"/>
                <w:szCs w:val="16"/>
              </w:rPr>
              <w:t xml:space="preserve"> </w:t>
            </w:r>
            <w:r>
              <w:rPr>
                <w:rFonts w:ascii="Sylfaen" w:hAnsi="Sylfaen" w:cs="Sylfaen"/>
                <w:sz w:val="16"/>
                <w:szCs w:val="16"/>
              </w:rPr>
              <w:t>განვითარების</w:t>
            </w:r>
            <w:r>
              <w:rPr>
                <w:rFonts w:ascii="Calibri" w:hAnsi="Calibri" w:cs="Calibri"/>
                <w:sz w:val="16"/>
                <w:szCs w:val="16"/>
              </w:rPr>
              <w:t xml:space="preserve"> </w:t>
            </w:r>
            <w:r>
              <w:rPr>
                <w:rFonts w:ascii="Sylfaen" w:hAnsi="Sylfaen" w:cs="Sylfaen"/>
                <w:sz w:val="16"/>
                <w:szCs w:val="16"/>
              </w:rPr>
              <w:t>ბანკი</w:t>
            </w:r>
            <w:r>
              <w:rPr>
                <w:rFonts w:ascii="Calibri" w:hAnsi="Calibri" w:cs="Calibri"/>
                <w:sz w:val="16"/>
                <w:szCs w:val="16"/>
              </w:rPr>
              <w:t xml:space="preserve"> (EBRD)</w:t>
            </w:r>
          </w:p>
        </w:tc>
        <w:tc>
          <w:tcPr>
            <w:tcW w:w="506" w:type="pc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EUR</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124 155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332 313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EURIBOR+ 1%</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0.78%</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0.018%</w:t>
            </w:r>
          </w:p>
        </w:tc>
      </w:tr>
      <w:tr w:rsidR="006B3FC1" w:rsidTr="00607DFD">
        <w:trPr>
          <w:trHeight w:hRule="exact" w:val="221"/>
        </w:trPr>
        <w:tc>
          <w:tcPr>
            <w:tcW w:w="1547" w:type="pct"/>
            <w:vMerge w:val="restart"/>
            <w:tcBorders>
              <w:left w:val="single" w:sz="4" w:space="0" w:color="auto"/>
            </w:tcBorders>
            <w:shd w:val="clear" w:color="auto" w:fill="auto"/>
            <w:vAlign w:val="center"/>
            <w:hideMark/>
          </w:tcPr>
          <w:p w:rsidR="006B3FC1" w:rsidRDefault="006B3FC1" w:rsidP="00797BDC">
            <w:pPr>
              <w:rPr>
                <w:rFonts w:ascii="Calibri" w:hAnsi="Calibri" w:cs="Calibri"/>
                <w:sz w:val="16"/>
                <w:szCs w:val="16"/>
              </w:rPr>
            </w:pPr>
            <w:r>
              <w:rPr>
                <w:rFonts w:ascii="Sylfaen" w:hAnsi="Sylfaen" w:cs="Sylfaen"/>
                <w:sz w:val="16"/>
                <w:szCs w:val="16"/>
              </w:rPr>
              <w:t>აზიის</w:t>
            </w:r>
            <w:r>
              <w:rPr>
                <w:rFonts w:ascii="Calibri" w:hAnsi="Calibri" w:cs="Calibri"/>
                <w:sz w:val="16"/>
                <w:szCs w:val="16"/>
              </w:rPr>
              <w:t xml:space="preserve"> </w:t>
            </w:r>
            <w:r>
              <w:rPr>
                <w:rFonts w:ascii="Sylfaen" w:hAnsi="Sylfaen" w:cs="Sylfaen"/>
                <w:sz w:val="16"/>
                <w:szCs w:val="16"/>
              </w:rPr>
              <w:t>განვითარების</w:t>
            </w:r>
            <w:r>
              <w:rPr>
                <w:rFonts w:ascii="Calibri" w:hAnsi="Calibri" w:cs="Calibri"/>
                <w:sz w:val="16"/>
                <w:szCs w:val="16"/>
              </w:rPr>
              <w:t xml:space="preserve"> </w:t>
            </w:r>
            <w:r>
              <w:rPr>
                <w:rFonts w:ascii="Sylfaen" w:hAnsi="Sylfaen" w:cs="Sylfaen"/>
                <w:sz w:val="16"/>
                <w:szCs w:val="16"/>
              </w:rPr>
              <w:t>ბანკი</w:t>
            </w:r>
            <w:r>
              <w:rPr>
                <w:rFonts w:ascii="Calibri" w:hAnsi="Calibri" w:cs="Calibri"/>
                <w:sz w:val="16"/>
                <w:szCs w:val="16"/>
              </w:rPr>
              <w:t xml:space="preserve"> (ADB)</w:t>
            </w:r>
          </w:p>
        </w:tc>
        <w:tc>
          <w:tcPr>
            <w:tcW w:w="506" w:type="pct"/>
            <w:vMerge w:val="restar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SDR</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65 199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174 511 </w:t>
            </w:r>
          </w:p>
        </w:tc>
        <w:tc>
          <w:tcPr>
            <w:tcW w:w="596" w:type="pct"/>
            <w:vMerge w:val="restar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1.00%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0.012%</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378 405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1 012 839 </w:t>
            </w:r>
          </w:p>
        </w:tc>
        <w:tc>
          <w:tcPr>
            <w:tcW w:w="596" w:type="pct"/>
            <w:vMerge/>
            <w:vAlign w:val="center"/>
            <w:hideMark/>
          </w:tcPr>
          <w:p w:rsidR="006B3FC1" w:rsidRDefault="006B3FC1">
            <w:pPr>
              <w:rPr>
                <w:rFonts w:ascii="Calibri" w:hAnsi="Calibri" w:cs="Calibri"/>
                <w:sz w:val="16"/>
                <w:szCs w:val="16"/>
              </w:rPr>
            </w:pP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1.50%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0.104%</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45 091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120 690 </w:t>
            </w:r>
          </w:p>
        </w:tc>
        <w:tc>
          <w:tcPr>
            <w:tcW w:w="596" w:type="pct"/>
            <w:vMerge/>
            <w:vAlign w:val="center"/>
            <w:hideMark/>
          </w:tcPr>
          <w:p w:rsidR="006B3FC1" w:rsidRDefault="006B3FC1">
            <w:pPr>
              <w:rPr>
                <w:rFonts w:ascii="Calibri" w:hAnsi="Calibri" w:cs="Calibri"/>
                <w:sz w:val="16"/>
                <w:szCs w:val="16"/>
              </w:rPr>
            </w:pP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1.60%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0.013%</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221 225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592 131 </w:t>
            </w:r>
          </w:p>
        </w:tc>
        <w:tc>
          <w:tcPr>
            <w:tcW w:w="596" w:type="pct"/>
            <w:vMerge/>
            <w:vAlign w:val="center"/>
            <w:hideMark/>
          </w:tcPr>
          <w:p w:rsidR="006B3FC1" w:rsidRDefault="006B3FC1">
            <w:pPr>
              <w:rPr>
                <w:rFonts w:ascii="Calibri" w:hAnsi="Calibri" w:cs="Calibri"/>
                <w:sz w:val="16"/>
                <w:szCs w:val="16"/>
              </w:rPr>
            </w:pP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2.00%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0.081%</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EUR</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79 930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213 942 </w:t>
            </w:r>
          </w:p>
        </w:tc>
        <w:tc>
          <w:tcPr>
            <w:tcW w:w="596" w:type="pct"/>
            <w:shd w:val="clear" w:color="auto" w:fill="auto"/>
            <w:vAlign w:val="center"/>
            <w:hideMark/>
          </w:tcPr>
          <w:p w:rsidR="006B3FC1" w:rsidRDefault="006B3FC1">
            <w:pPr>
              <w:jc w:val="center"/>
              <w:rPr>
                <w:rFonts w:ascii="Calibri" w:hAnsi="Calibri" w:cs="Calibri"/>
                <w:sz w:val="16"/>
                <w:szCs w:val="16"/>
              </w:rPr>
            </w:pPr>
            <w:r>
              <w:rPr>
                <w:rFonts w:ascii="Calibri" w:hAnsi="Calibri" w:cs="Calibri"/>
                <w:sz w:val="16"/>
                <w:szCs w:val="16"/>
              </w:rPr>
              <w:t>EURIBOR + Fixed Spread</w:t>
            </w: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0.47%</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0.007%</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restar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USD</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58 333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156 135 </w:t>
            </w:r>
          </w:p>
        </w:tc>
        <w:tc>
          <w:tcPr>
            <w:tcW w:w="596" w:type="pct"/>
            <w:vMerge w:val="restar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LIBOR + Fixed Spread</w:t>
            </w: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2.86%</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0.031%</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70 914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189 809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2.91%</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0.038%</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50 000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133 830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3.02%</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0.028%</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44 215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118 346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3.10%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0.025%</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38 974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104 318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3.11%</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0.022%</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16 276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43 565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3.26%</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0.010%</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12 472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33 382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3.29%</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0.008%</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14 667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39 257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3.35%</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0.009%</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6 104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16 337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3.49%</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0.004%</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40 944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109 592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3.58%</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0.027%</w:t>
            </w:r>
          </w:p>
        </w:tc>
      </w:tr>
      <w:tr w:rsidR="006B3FC1" w:rsidTr="00607DFD">
        <w:trPr>
          <w:trHeight w:hRule="exact" w:val="559"/>
        </w:trPr>
        <w:tc>
          <w:tcPr>
            <w:tcW w:w="1547" w:type="pct"/>
            <w:tcBorders>
              <w:left w:val="single" w:sz="4" w:space="0" w:color="auto"/>
            </w:tcBorders>
            <w:shd w:val="clear" w:color="auto" w:fill="auto"/>
            <w:vAlign w:val="center"/>
            <w:hideMark/>
          </w:tcPr>
          <w:p w:rsidR="006B3FC1" w:rsidRDefault="006B3FC1">
            <w:pPr>
              <w:rPr>
                <w:rFonts w:ascii="Calibri" w:hAnsi="Calibri" w:cs="Calibri"/>
                <w:sz w:val="16"/>
                <w:szCs w:val="16"/>
              </w:rPr>
            </w:pPr>
            <w:r>
              <w:rPr>
                <w:rFonts w:ascii="Sylfaen" w:hAnsi="Sylfaen" w:cs="Sylfaen"/>
                <w:sz w:val="16"/>
                <w:szCs w:val="16"/>
              </w:rPr>
              <w:t>აზიის</w:t>
            </w:r>
            <w:r>
              <w:rPr>
                <w:rFonts w:ascii="Calibri" w:hAnsi="Calibri" w:cs="Calibri"/>
                <w:sz w:val="16"/>
                <w:szCs w:val="16"/>
              </w:rPr>
              <w:t xml:space="preserve"> </w:t>
            </w:r>
            <w:r>
              <w:rPr>
                <w:rFonts w:ascii="Sylfaen" w:hAnsi="Sylfaen" w:cs="Sylfaen"/>
                <w:sz w:val="16"/>
                <w:szCs w:val="16"/>
              </w:rPr>
              <w:t>ინფრასტრუქტურის</w:t>
            </w:r>
            <w:r>
              <w:rPr>
                <w:rFonts w:ascii="Calibri" w:hAnsi="Calibri" w:cs="Calibri"/>
                <w:sz w:val="16"/>
                <w:szCs w:val="16"/>
              </w:rPr>
              <w:t xml:space="preserve"> </w:t>
            </w:r>
            <w:r>
              <w:rPr>
                <w:rFonts w:ascii="Sylfaen" w:hAnsi="Sylfaen" w:cs="Sylfaen"/>
                <w:sz w:val="16"/>
                <w:szCs w:val="16"/>
              </w:rPr>
              <w:t>განვითარების</w:t>
            </w:r>
            <w:r>
              <w:rPr>
                <w:rFonts w:ascii="Calibri" w:hAnsi="Calibri" w:cs="Calibri"/>
                <w:sz w:val="16"/>
                <w:szCs w:val="16"/>
              </w:rPr>
              <w:t xml:space="preserve"> </w:t>
            </w:r>
            <w:r>
              <w:rPr>
                <w:rFonts w:ascii="Sylfaen" w:hAnsi="Sylfaen" w:cs="Sylfaen"/>
                <w:sz w:val="16"/>
                <w:szCs w:val="16"/>
              </w:rPr>
              <w:t>ბანკი</w:t>
            </w:r>
            <w:r>
              <w:rPr>
                <w:rFonts w:ascii="Calibri" w:hAnsi="Calibri" w:cs="Calibri"/>
                <w:sz w:val="16"/>
                <w:szCs w:val="16"/>
              </w:rPr>
              <w:t xml:space="preserve"> (AIIB)</w:t>
            </w:r>
          </w:p>
        </w:tc>
        <w:tc>
          <w:tcPr>
            <w:tcW w:w="506" w:type="pc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USD</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14 428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38 617 </w:t>
            </w:r>
          </w:p>
        </w:tc>
        <w:tc>
          <w:tcPr>
            <w:tcW w:w="596" w:type="pc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LIBOR + Variable Spread</w:t>
            </w: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3.70%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0.010%</w:t>
            </w:r>
          </w:p>
        </w:tc>
      </w:tr>
      <w:tr w:rsidR="006B3FC1" w:rsidTr="00607DFD">
        <w:trPr>
          <w:trHeight w:hRule="exact" w:val="221"/>
        </w:trPr>
        <w:tc>
          <w:tcPr>
            <w:tcW w:w="1547" w:type="pct"/>
            <w:vMerge w:val="restar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ევროპის</w:t>
            </w:r>
            <w:r>
              <w:rPr>
                <w:rFonts w:ascii="Calibri" w:hAnsi="Calibri" w:cs="Calibri"/>
                <w:sz w:val="16"/>
                <w:szCs w:val="16"/>
              </w:rPr>
              <w:t xml:space="preserve"> </w:t>
            </w:r>
            <w:r>
              <w:rPr>
                <w:rFonts w:ascii="Sylfaen" w:hAnsi="Sylfaen" w:cs="Sylfaen"/>
                <w:sz w:val="16"/>
                <w:szCs w:val="16"/>
              </w:rPr>
              <w:t>საინვესტიციო</w:t>
            </w:r>
            <w:r>
              <w:rPr>
                <w:rFonts w:ascii="Calibri" w:hAnsi="Calibri" w:cs="Calibri"/>
                <w:sz w:val="16"/>
                <w:szCs w:val="16"/>
              </w:rPr>
              <w:t xml:space="preserve"> </w:t>
            </w:r>
            <w:r>
              <w:rPr>
                <w:rFonts w:ascii="Sylfaen" w:hAnsi="Sylfaen" w:cs="Sylfaen"/>
                <w:sz w:val="16"/>
                <w:szCs w:val="16"/>
              </w:rPr>
              <w:t>ბანკი</w:t>
            </w:r>
            <w:r>
              <w:rPr>
                <w:rFonts w:ascii="Calibri" w:hAnsi="Calibri" w:cs="Calibri"/>
                <w:sz w:val="16"/>
                <w:szCs w:val="16"/>
              </w:rPr>
              <w:t>(EIB)</w:t>
            </w:r>
          </w:p>
        </w:tc>
        <w:tc>
          <w:tcPr>
            <w:tcW w:w="506" w:type="pct"/>
            <w:vMerge w:val="restar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EUR</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9 579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25 640 </w:t>
            </w:r>
          </w:p>
        </w:tc>
        <w:tc>
          <w:tcPr>
            <w:tcW w:w="596" w:type="pct"/>
            <w:vMerge w:val="restar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0.86%</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0.002%</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22 940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61 402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0.87%</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0.004%</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11 470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30 701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1.65%</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0.003%</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26 640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71 306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1.69%</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0.008%</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22 940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61 402 </w:t>
            </w:r>
          </w:p>
        </w:tc>
        <w:tc>
          <w:tcPr>
            <w:tcW w:w="596" w:type="pct"/>
            <w:vMerge/>
            <w:vAlign w:val="center"/>
            <w:hideMark/>
          </w:tcPr>
          <w:p w:rsidR="006B3FC1" w:rsidRDefault="006B3FC1">
            <w:pPr>
              <w:rPr>
                <w:rFonts w:ascii="Calibri" w:hAnsi="Calibri" w:cs="Calibri"/>
                <w:sz w:val="16"/>
                <w:szCs w:val="16"/>
              </w:rPr>
            </w:pP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1.94%</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0.008%</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120 437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322 360 </w:t>
            </w:r>
          </w:p>
        </w:tc>
        <w:tc>
          <w:tcPr>
            <w:tcW w:w="596"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EURIBOR+0.183%</w:t>
            </w: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0.000%</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108 966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291 659 </w:t>
            </w:r>
          </w:p>
        </w:tc>
        <w:tc>
          <w:tcPr>
            <w:tcW w:w="596"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EURIBOR+0.505%</w:t>
            </w: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0.17%</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0.003%</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11 470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30 701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EURIBOR + 0.75%</w:t>
            </w: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0.39%</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0.001%</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88 971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238 139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EURIBOR+0.75%</w:t>
            </w: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0.48%</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0.008%</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11 120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29 763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EURIBOR+0.81%</w:t>
            </w: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0.55%</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0.001%</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41 721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111 669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EURIBOR + 0.82%</w:t>
            </w: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0.56%</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0.004%</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3 441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9 210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EURIBOR + 0.858%</w:t>
            </w:r>
          </w:p>
        </w:tc>
        <w:tc>
          <w:tcPr>
            <w:tcW w:w="512" w:type="pct"/>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0.58%</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0.000%</w:t>
            </w:r>
          </w:p>
        </w:tc>
      </w:tr>
      <w:tr w:rsidR="006B3FC1" w:rsidTr="00607DFD">
        <w:trPr>
          <w:trHeight w:hRule="exact" w:val="286"/>
        </w:trPr>
        <w:tc>
          <w:tcPr>
            <w:tcW w:w="1547" w:type="pct"/>
            <w:tcBorders>
              <w:left w:val="single" w:sz="4" w:space="0" w:color="auto"/>
            </w:tcBorders>
            <w:shd w:val="clear" w:color="000000" w:fill="BFBFBF"/>
            <w:vAlign w:val="center"/>
            <w:hideMark/>
          </w:tcPr>
          <w:p w:rsidR="006B3FC1" w:rsidRDefault="006B3FC1">
            <w:pPr>
              <w:rPr>
                <w:rFonts w:ascii="Calibri" w:hAnsi="Calibri" w:cs="Calibri"/>
                <w:b/>
                <w:bCs/>
                <w:sz w:val="16"/>
                <w:szCs w:val="16"/>
              </w:rPr>
            </w:pPr>
            <w:r>
              <w:rPr>
                <w:rFonts w:ascii="Sylfaen" w:hAnsi="Sylfaen" w:cs="Sylfaen"/>
                <w:b/>
                <w:bCs/>
                <w:sz w:val="16"/>
                <w:szCs w:val="16"/>
              </w:rPr>
              <w:lastRenderedPageBreak/>
              <w:t>ორმხრივი</w:t>
            </w:r>
            <w:r>
              <w:rPr>
                <w:rFonts w:ascii="Calibri" w:hAnsi="Calibri" w:cs="Calibri"/>
                <w:b/>
                <w:bCs/>
                <w:sz w:val="16"/>
                <w:szCs w:val="16"/>
              </w:rPr>
              <w:t xml:space="preserve"> </w:t>
            </w:r>
            <w:r>
              <w:rPr>
                <w:rFonts w:ascii="Sylfaen" w:hAnsi="Sylfaen" w:cs="Sylfaen"/>
                <w:b/>
                <w:bCs/>
                <w:sz w:val="16"/>
                <w:szCs w:val="16"/>
              </w:rPr>
              <w:t>კრედიტორები</w:t>
            </w:r>
          </w:p>
        </w:tc>
        <w:tc>
          <w:tcPr>
            <w:tcW w:w="506" w:type="pct"/>
            <w:shd w:val="clear" w:color="000000" w:fill="BFBFBF"/>
            <w:vAlign w:val="center"/>
            <w:hideMark/>
          </w:tcPr>
          <w:p w:rsidR="006B3FC1" w:rsidRDefault="006B3FC1">
            <w:pPr>
              <w:rPr>
                <w:rFonts w:ascii="Calibri" w:hAnsi="Calibri" w:cs="Calibri"/>
                <w:b/>
                <w:bCs/>
                <w:sz w:val="16"/>
                <w:szCs w:val="16"/>
              </w:rPr>
            </w:pPr>
            <w:r>
              <w:rPr>
                <w:rFonts w:ascii="Calibri" w:hAnsi="Calibri" w:cs="Calibri"/>
                <w:b/>
                <w:bCs/>
                <w:sz w:val="16"/>
                <w:szCs w:val="16"/>
              </w:rPr>
              <w:t> </w:t>
            </w:r>
          </w:p>
        </w:tc>
        <w:tc>
          <w:tcPr>
            <w:tcW w:w="662" w:type="pct"/>
            <w:shd w:val="clear" w:color="000000" w:fill="BFBFBF"/>
            <w:noWrap/>
            <w:vAlign w:val="center"/>
            <w:hideMark/>
          </w:tcPr>
          <w:p w:rsidR="006B3FC1" w:rsidRDefault="006B3FC1">
            <w:pPr>
              <w:rPr>
                <w:rFonts w:ascii="Calibri" w:hAnsi="Calibri" w:cs="Calibri"/>
                <w:b/>
                <w:bCs/>
                <w:sz w:val="16"/>
                <w:szCs w:val="16"/>
              </w:rPr>
            </w:pPr>
            <w:r>
              <w:rPr>
                <w:rFonts w:ascii="Calibri" w:hAnsi="Calibri" w:cs="Calibri"/>
                <w:b/>
                <w:bCs/>
                <w:sz w:val="16"/>
                <w:szCs w:val="16"/>
              </w:rPr>
              <w:t xml:space="preserve">                926 504 </w:t>
            </w:r>
          </w:p>
        </w:tc>
        <w:tc>
          <w:tcPr>
            <w:tcW w:w="588" w:type="pct"/>
            <w:shd w:val="clear" w:color="000000" w:fill="BFBFBF"/>
            <w:noWrap/>
            <w:vAlign w:val="center"/>
            <w:hideMark/>
          </w:tcPr>
          <w:p w:rsidR="006B3FC1" w:rsidRDefault="006B3FC1">
            <w:pPr>
              <w:rPr>
                <w:rFonts w:ascii="Calibri" w:hAnsi="Calibri" w:cs="Calibri"/>
                <w:b/>
                <w:bCs/>
                <w:sz w:val="16"/>
                <w:szCs w:val="16"/>
              </w:rPr>
            </w:pPr>
            <w:r>
              <w:rPr>
                <w:rFonts w:ascii="Calibri" w:hAnsi="Calibri" w:cs="Calibri"/>
                <w:b/>
                <w:bCs/>
                <w:sz w:val="16"/>
                <w:szCs w:val="16"/>
              </w:rPr>
              <w:t xml:space="preserve">          2 479 880 </w:t>
            </w:r>
          </w:p>
        </w:tc>
        <w:tc>
          <w:tcPr>
            <w:tcW w:w="596" w:type="pct"/>
            <w:shd w:val="clear" w:color="000000" w:fill="BFBFBF"/>
            <w:noWrap/>
            <w:vAlign w:val="center"/>
            <w:hideMark/>
          </w:tcPr>
          <w:p w:rsidR="006B3FC1" w:rsidRDefault="006B3FC1">
            <w:pPr>
              <w:jc w:val="center"/>
              <w:rPr>
                <w:rFonts w:ascii="Calibri" w:hAnsi="Calibri" w:cs="Calibri"/>
                <w:b/>
                <w:bCs/>
                <w:sz w:val="16"/>
                <w:szCs w:val="16"/>
              </w:rPr>
            </w:pPr>
            <w:r>
              <w:rPr>
                <w:rFonts w:ascii="Calibri" w:hAnsi="Calibri" w:cs="Calibri"/>
                <w:b/>
                <w:bCs/>
                <w:sz w:val="16"/>
                <w:szCs w:val="16"/>
              </w:rPr>
              <w:t> </w:t>
            </w:r>
          </w:p>
        </w:tc>
        <w:tc>
          <w:tcPr>
            <w:tcW w:w="512" w:type="pct"/>
            <w:shd w:val="clear" w:color="auto" w:fill="BFBFBF" w:themeFill="background1" w:themeFillShade="BF"/>
            <w:noWrap/>
            <w:vAlign w:val="center"/>
            <w:hideMark/>
          </w:tcPr>
          <w:p w:rsidR="006B3FC1" w:rsidRPr="006B3FC1" w:rsidRDefault="006B3FC1">
            <w:pPr>
              <w:jc w:val="center"/>
              <w:rPr>
                <w:rFonts w:ascii="Calibri" w:hAnsi="Calibri" w:cs="Calibri"/>
                <w:b/>
                <w:bCs/>
                <w:sz w:val="16"/>
                <w:szCs w:val="16"/>
              </w:rPr>
            </w:pPr>
            <w:r w:rsidRPr="006B3FC1">
              <w:rPr>
                <w:rFonts w:ascii="Calibri" w:hAnsi="Calibri" w:cs="Calibri"/>
                <w:b/>
                <w:bCs/>
                <w:sz w:val="16"/>
                <w:szCs w:val="16"/>
              </w:rPr>
              <w:t> </w:t>
            </w:r>
          </w:p>
        </w:tc>
        <w:tc>
          <w:tcPr>
            <w:tcW w:w="588" w:type="pct"/>
            <w:tcBorders>
              <w:right w:val="single" w:sz="4" w:space="0" w:color="auto"/>
            </w:tcBorders>
            <w:shd w:val="clear" w:color="000000" w:fill="BFBFBF"/>
            <w:noWrap/>
            <w:vAlign w:val="center"/>
            <w:hideMark/>
          </w:tcPr>
          <w:p w:rsidR="006B3FC1" w:rsidRPr="006B3FC1" w:rsidRDefault="006B3FC1">
            <w:pPr>
              <w:jc w:val="center"/>
              <w:rPr>
                <w:rFonts w:ascii="Calibri" w:hAnsi="Calibri" w:cs="Calibri"/>
                <w:b/>
                <w:bCs/>
                <w:sz w:val="16"/>
                <w:szCs w:val="16"/>
              </w:rPr>
            </w:pPr>
            <w:r w:rsidRPr="006B3FC1">
              <w:rPr>
                <w:rFonts w:ascii="Calibri" w:hAnsi="Calibri" w:cs="Calibri"/>
                <w:b/>
                <w:bCs/>
                <w:sz w:val="16"/>
                <w:szCs w:val="16"/>
              </w:rPr>
              <w:t> </w:t>
            </w:r>
          </w:p>
        </w:tc>
      </w:tr>
      <w:tr w:rsidR="006B3FC1" w:rsidTr="00607DFD">
        <w:trPr>
          <w:trHeight w:hRule="exact" w:val="221"/>
        </w:trPr>
        <w:tc>
          <w:tcPr>
            <w:tcW w:w="1547" w:type="pc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ავსტრია</w:t>
            </w:r>
          </w:p>
        </w:tc>
        <w:tc>
          <w:tcPr>
            <w:tcW w:w="506" w:type="pc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EUR</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20 566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55 047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1.00%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0.004%</w:t>
            </w:r>
          </w:p>
        </w:tc>
      </w:tr>
      <w:tr w:rsidR="006B3FC1" w:rsidTr="00607DFD">
        <w:trPr>
          <w:trHeight w:hRule="exact" w:val="221"/>
        </w:trPr>
        <w:tc>
          <w:tcPr>
            <w:tcW w:w="1547" w:type="pc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აზერბაიჯანი</w:t>
            </w:r>
          </w:p>
        </w:tc>
        <w:tc>
          <w:tcPr>
            <w:tcW w:w="506" w:type="pc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USD</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7 819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20 927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3.00%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0.004%</w:t>
            </w:r>
          </w:p>
        </w:tc>
      </w:tr>
      <w:tr w:rsidR="006B3FC1" w:rsidTr="00607DFD">
        <w:trPr>
          <w:trHeight w:hRule="exact" w:val="221"/>
        </w:trPr>
        <w:tc>
          <w:tcPr>
            <w:tcW w:w="1547" w:type="pc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თურქმენეთი</w:t>
            </w:r>
          </w:p>
        </w:tc>
        <w:tc>
          <w:tcPr>
            <w:tcW w:w="506" w:type="pc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USD</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211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565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4.00%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0.000%</w:t>
            </w:r>
          </w:p>
        </w:tc>
      </w:tr>
      <w:tr w:rsidR="006B3FC1" w:rsidTr="00607DFD">
        <w:trPr>
          <w:trHeight w:hRule="exact" w:val="221"/>
        </w:trPr>
        <w:tc>
          <w:tcPr>
            <w:tcW w:w="1547" w:type="pc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თურქეთი</w:t>
            </w:r>
          </w:p>
        </w:tc>
        <w:tc>
          <w:tcPr>
            <w:tcW w:w="506" w:type="pc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USD</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15 019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40 200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3.13%</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0.009%</w:t>
            </w:r>
          </w:p>
        </w:tc>
      </w:tr>
      <w:tr w:rsidR="006B3FC1" w:rsidTr="00607DFD">
        <w:trPr>
          <w:trHeight w:hRule="exact" w:val="221"/>
        </w:trPr>
        <w:tc>
          <w:tcPr>
            <w:tcW w:w="1547" w:type="pc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ირანი</w:t>
            </w:r>
          </w:p>
        </w:tc>
        <w:tc>
          <w:tcPr>
            <w:tcW w:w="506" w:type="pc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USD</w:t>
            </w:r>
          </w:p>
        </w:tc>
        <w:tc>
          <w:tcPr>
            <w:tcW w:w="662" w:type="pct"/>
            <w:shd w:val="clear" w:color="auto" w:fill="auto"/>
            <w:noWrap/>
            <w:vAlign w:val="center"/>
            <w:hideMark/>
          </w:tcPr>
          <w:p w:rsidR="006B3FC1" w:rsidRDefault="006B3FC1" w:rsidP="006B3FC1">
            <w:pPr>
              <w:rPr>
                <w:rFonts w:ascii="Calibri" w:hAnsi="Calibri" w:cs="Calibri"/>
                <w:sz w:val="16"/>
                <w:szCs w:val="16"/>
              </w:rPr>
            </w:pPr>
            <w:r>
              <w:rPr>
                <w:rFonts w:ascii="Calibri" w:hAnsi="Calibri" w:cs="Calibri"/>
                <w:sz w:val="16"/>
                <w:szCs w:val="16"/>
              </w:rPr>
              <w:t xml:space="preserve">                     5 999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16 057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3.00%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0.003%</w:t>
            </w:r>
          </w:p>
        </w:tc>
      </w:tr>
      <w:tr w:rsidR="006B3FC1" w:rsidTr="00607DFD">
        <w:trPr>
          <w:trHeight w:hRule="exact" w:val="221"/>
        </w:trPr>
        <w:tc>
          <w:tcPr>
            <w:tcW w:w="1547" w:type="pct"/>
            <w:tcBorders>
              <w:left w:val="single" w:sz="4" w:space="0" w:color="auto"/>
              <w:bottom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რუსეთი</w:t>
            </w:r>
          </w:p>
        </w:tc>
        <w:tc>
          <w:tcPr>
            <w:tcW w:w="506" w:type="pct"/>
            <w:tcBorders>
              <w:bottom w:val="single" w:sz="4" w:space="0" w:color="auto"/>
            </w:tcBorders>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USD</w:t>
            </w:r>
          </w:p>
        </w:tc>
        <w:tc>
          <w:tcPr>
            <w:tcW w:w="662" w:type="pct"/>
            <w:tcBorders>
              <w:bottom w:val="single" w:sz="4" w:space="0" w:color="auto"/>
            </w:tcBorders>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61 393 </w:t>
            </w:r>
          </w:p>
        </w:tc>
        <w:tc>
          <w:tcPr>
            <w:tcW w:w="588" w:type="pct"/>
            <w:tcBorders>
              <w:bottom w:val="single" w:sz="4" w:space="0" w:color="auto"/>
            </w:tcBorders>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164 326 </w:t>
            </w:r>
          </w:p>
        </w:tc>
        <w:tc>
          <w:tcPr>
            <w:tcW w:w="596" w:type="pct"/>
            <w:tcBorders>
              <w:bottom w:val="single" w:sz="4" w:space="0" w:color="auto"/>
            </w:tcBorders>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tcBorders>
              <w:bottom w:val="single" w:sz="4" w:space="0" w:color="auto"/>
            </w:tcBorders>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4.00%</w:t>
            </w:r>
          </w:p>
        </w:tc>
        <w:tc>
          <w:tcPr>
            <w:tcW w:w="588" w:type="pct"/>
            <w:tcBorders>
              <w:bottom w:val="single" w:sz="4" w:space="0" w:color="auto"/>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0.045%</w:t>
            </w:r>
          </w:p>
        </w:tc>
      </w:tr>
      <w:tr w:rsidR="006B3FC1" w:rsidTr="00607DFD">
        <w:trPr>
          <w:trHeight w:hRule="exact" w:val="221"/>
        </w:trPr>
        <w:tc>
          <w:tcPr>
            <w:tcW w:w="1547" w:type="pct"/>
            <w:tcBorders>
              <w:top w:val="single" w:sz="4" w:space="0" w:color="auto"/>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სომხეთი</w:t>
            </w:r>
          </w:p>
        </w:tc>
        <w:tc>
          <w:tcPr>
            <w:tcW w:w="506" w:type="pct"/>
            <w:tcBorders>
              <w:top w:val="single" w:sz="4" w:space="0" w:color="auto"/>
            </w:tcBorders>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USD</w:t>
            </w:r>
          </w:p>
        </w:tc>
        <w:tc>
          <w:tcPr>
            <w:tcW w:w="662" w:type="pct"/>
            <w:tcBorders>
              <w:top w:val="single" w:sz="4" w:space="0" w:color="auto"/>
            </w:tcBorders>
            <w:shd w:val="clear" w:color="auto" w:fill="auto"/>
            <w:noWrap/>
            <w:vAlign w:val="center"/>
            <w:hideMark/>
          </w:tcPr>
          <w:p w:rsidR="006B3FC1" w:rsidRDefault="006B3FC1" w:rsidP="006B3FC1">
            <w:pPr>
              <w:rPr>
                <w:rFonts w:ascii="Calibri" w:hAnsi="Calibri" w:cs="Calibri"/>
                <w:sz w:val="16"/>
                <w:szCs w:val="16"/>
              </w:rPr>
            </w:pPr>
            <w:r>
              <w:rPr>
                <w:rFonts w:ascii="Calibri" w:hAnsi="Calibri" w:cs="Calibri"/>
                <w:sz w:val="16"/>
                <w:szCs w:val="16"/>
              </w:rPr>
              <w:t xml:space="preserve">                     8 643 </w:t>
            </w:r>
          </w:p>
        </w:tc>
        <w:tc>
          <w:tcPr>
            <w:tcW w:w="588" w:type="pct"/>
            <w:tcBorders>
              <w:top w:val="single" w:sz="4" w:space="0" w:color="auto"/>
            </w:tcBorders>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23 133 </w:t>
            </w:r>
          </w:p>
        </w:tc>
        <w:tc>
          <w:tcPr>
            <w:tcW w:w="596" w:type="pct"/>
            <w:tcBorders>
              <w:top w:val="single" w:sz="4" w:space="0" w:color="auto"/>
            </w:tcBorders>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tcBorders>
              <w:top w:val="single" w:sz="4" w:space="0" w:color="auto"/>
            </w:tcBorders>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3.00%</w:t>
            </w:r>
          </w:p>
        </w:tc>
        <w:tc>
          <w:tcPr>
            <w:tcW w:w="588" w:type="pct"/>
            <w:tcBorders>
              <w:top w:val="single" w:sz="4" w:space="0" w:color="auto"/>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0.005%</w:t>
            </w:r>
          </w:p>
        </w:tc>
      </w:tr>
      <w:tr w:rsidR="006B3FC1" w:rsidTr="00607DFD">
        <w:trPr>
          <w:trHeight w:hRule="exact" w:val="221"/>
        </w:trPr>
        <w:tc>
          <w:tcPr>
            <w:tcW w:w="1547" w:type="pc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უზბეკეთი</w:t>
            </w:r>
          </w:p>
        </w:tc>
        <w:tc>
          <w:tcPr>
            <w:tcW w:w="506" w:type="pc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USD</w:t>
            </w:r>
          </w:p>
        </w:tc>
        <w:tc>
          <w:tcPr>
            <w:tcW w:w="662" w:type="pct"/>
            <w:shd w:val="clear" w:color="auto" w:fill="auto"/>
            <w:noWrap/>
            <w:vAlign w:val="center"/>
            <w:hideMark/>
          </w:tcPr>
          <w:p w:rsidR="006B3FC1" w:rsidRDefault="006B3FC1" w:rsidP="006B3FC1">
            <w:pPr>
              <w:rPr>
                <w:rFonts w:ascii="Calibri" w:hAnsi="Calibri" w:cs="Calibri"/>
                <w:sz w:val="16"/>
                <w:szCs w:val="16"/>
              </w:rPr>
            </w:pPr>
            <w:r>
              <w:rPr>
                <w:rFonts w:ascii="Calibri" w:hAnsi="Calibri" w:cs="Calibri"/>
                <w:sz w:val="16"/>
                <w:szCs w:val="16"/>
              </w:rPr>
              <w:t xml:space="preserve">                        140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376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3.00%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0.000%</w:t>
            </w:r>
          </w:p>
        </w:tc>
      </w:tr>
      <w:tr w:rsidR="006B3FC1" w:rsidTr="00607DFD">
        <w:trPr>
          <w:trHeight w:hRule="exact" w:val="221"/>
        </w:trPr>
        <w:tc>
          <w:tcPr>
            <w:tcW w:w="1547" w:type="pc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უკრაინა</w:t>
            </w:r>
          </w:p>
        </w:tc>
        <w:tc>
          <w:tcPr>
            <w:tcW w:w="506" w:type="pc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USD</w:t>
            </w:r>
          </w:p>
        </w:tc>
        <w:tc>
          <w:tcPr>
            <w:tcW w:w="662" w:type="pct"/>
            <w:shd w:val="clear" w:color="auto" w:fill="auto"/>
            <w:noWrap/>
            <w:vAlign w:val="center"/>
            <w:hideMark/>
          </w:tcPr>
          <w:p w:rsidR="006B3FC1" w:rsidRDefault="006B3FC1" w:rsidP="006B3FC1">
            <w:pPr>
              <w:rPr>
                <w:rFonts w:ascii="Calibri" w:hAnsi="Calibri" w:cs="Calibri"/>
                <w:sz w:val="16"/>
                <w:szCs w:val="16"/>
              </w:rPr>
            </w:pPr>
            <w:r>
              <w:rPr>
                <w:rFonts w:ascii="Calibri" w:hAnsi="Calibri" w:cs="Calibri"/>
                <w:sz w:val="16"/>
                <w:szCs w:val="16"/>
              </w:rPr>
              <w:t xml:space="preserve">                        128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343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3.00%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0.000%</w:t>
            </w:r>
          </w:p>
        </w:tc>
      </w:tr>
      <w:tr w:rsidR="006B3FC1" w:rsidTr="00607DFD">
        <w:trPr>
          <w:trHeight w:hRule="exact" w:val="221"/>
        </w:trPr>
        <w:tc>
          <w:tcPr>
            <w:tcW w:w="1547" w:type="pc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ყაზახეთი</w:t>
            </w:r>
          </w:p>
        </w:tc>
        <w:tc>
          <w:tcPr>
            <w:tcW w:w="506" w:type="pc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USD</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17 591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47 083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4.00%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0.013%</w:t>
            </w:r>
          </w:p>
        </w:tc>
      </w:tr>
      <w:tr w:rsidR="006B3FC1" w:rsidTr="00607DFD">
        <w:trPr>
          <w:trHeight w:hRule="exact" w:val="221"/>
        </w:trPr>
        <w:tc>
          <w:tcPr>
            <w:tcW w:w="1547" w:type="pc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Calibri" w:hAnsi="Calibri" w:cs="Calibri"/>
                <w:sz w:val="16"/>
                <w:szCs w:val="16"/>
              </w:rPr>
              <w:t xml:space="preserve"> </w:t>
            </w:r>
            <w:r>
              <w:rPr>
                <w:rFonts w:ascii="Sylfaen" w:hAnsi="Sylfaen" w:cs="Sylfaen"/>
                <w:sz w:val="16"/>
                <w:szCs w:val="16"/>
              </w:rPr>
              <w:t>ჩინეთი</w:t>
            </w:r>
          </w:p>
        </w:tc>
        <w:tc>
          <w:tcPr>
            <w:tcW w:w="506" w:type="pc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CNY</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1 747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4 675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0.00%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0.000%</w:t>
            </w:r>
          </w:p>
        </w:tc>
      </w:tr>
      <w:tr w:rsidR="006B3FC1" w:rsidTr="00607DFD">
        <w:trPr>
          <w:trHeight w:hRule="exact" w:val="221"/>
        </w:trPr>
        <w:tc>
          <w:tcPr>
            <w:tcW w:w="1547" w:type="pct"/>
            <w:vMerge w:val="restar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გერმანია</w:t>
            </w:r>
            <w:r>
              <w:rPr>
                <w:rFonts w:ascii="Calibri" w:hAnsi="Calibri" w:cs="Calibri"/>
                <w:sz w:val="16"/>
                <w:szCs w:val="16"/>
              </w:rPr>
              <w:t xml:space="preserve"> (KfW)</w:t>
            </w:r>
          </w:p>
        </w:tc>
        <w:tc>
          <w:tcPr>
            <w:tcW w:w="506" w:type="pct"/>
            <w:vMerge w:val="restar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EUR</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1 543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4 131 </w:t>
            </w:r>
          </w:p>
        </w:tc>
        <w:tc>
          <w:tcPr>
            <w:tcW w:w="596"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EURIBOR+ 0.3% </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0.11%</w:t>
            </w:r>
          </w:p>
        </w:tc>
        <w:tc>
          <w:tcPr>
            <w:tcW w:w="588" w:type="pct"/>
            <w:tcBorders>
              <w:right w:val="single" w:sz="4" w:space="0" w:color="auto"/>
            </w:tcBorders>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0.00%</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w:t>
            </w:r>
            <w:r>
              <w:rPr>
                <w:rFonts w:ascii="Sylfaen" w:hAnsi="Sylfaen" w:cs="Calibri"/>
                <w:sz w:val="16"/>
                <w:szCs w:val="16"/>
                <w:lang w:val="ka-GE"/>
              </w:rPr>
              <w:t xml:space="preserve"> </w:t>
            </w:r>
            <w:r>
              <w:rPr>
                <w:rFonts w:ascii="Calibri" w:hAnsi="Calibri" w:cs="Calibri"/>
                <w:sz w:val="16"/>
                <w:szCs w:val="16"/>
              </w:rPr>
              <w:t xml:space="preserve">      56 204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150 435 </w:t>
            </w:r>
          </w:p>
        </w:tc>
        <w:tc>
          <w:tcPr>
            <w:tcW w:w="596"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EURIBOR+ 0.75% </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0.75%</w:t>
            </w:r>
          </w:p>
        </w:tc>
        <w:tc>
          <w:tcPr>
            <w:tcW w:w="588" w:type="pct"/>
            <w:tcBorders>
              <w:right w:val="single" w:sz="4" w:space="0" w:color="auto"/>
            </w:tcBorders>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0.01%</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w:t>
            </w:r>
            <w:r>
              <w:rPr>
                <w:rFonts w:ascii="Sylfaen" w:hAnsi="Sylfaen" w:cs="Calibri"/>
                <w:sz w:val="16"/>
                <w:szCs w:val="16"/>
                <w:lang w:val="ka-GE"/>
              </w:rPr>
              <w:t xml:space="preserve"> </w:t>
            </w:r>
            <w:r>
              <w:rPr>
                <w:rFonts w:ascii="Calibri" w:hAnsi="Calibri" w:cs="Calibri"/>
                <w:sz w:val="16"/>
                <w:szCs w:val="16"/>
              </w:rPr>
              <w:t xml:space="preserve">     129 282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346 036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0.75%</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0.018%</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13 824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37 001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1.65%</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0.004%</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2 861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7 659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1.90%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0.001%</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34 410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92 101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2.00%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0.013%</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27 504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73 616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2.20%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0.011%</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12 330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33 004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4.20%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0.010%</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34 410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92 103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5.70%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0.036%</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12 514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33 495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6.68%</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0.015%</w:t>
            </w:r>
          </w:p>
        </w:tc>
      </w:tr>
      <w:tr w:rsidR="006B3FC1" w:rsidTr="00607DFD">
        <w:trPr>
          <w:trHeight w:hRule="exact" w:val="221"/>
        </w:trPr>
        <w:tc>
          <w:tcPr>
            <w:tcW w:w="1547" w:type="pct"/>
            <w:vMerge w:val="restar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იაპონია</w:t>
            </w:r>
          </w:p>
        </w:tc>
        <w:tc>
          <w:tcPr>
            <w:tcW w:w="506" w:type="pct"/>
            <w:vMerge w:val="restar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JPY</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26 302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70 399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0.01%</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0.000%</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139 887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374 423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0.65%</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0.017%</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rsidP="006B3FC1">
            <w:pPr>
              <w:rPr>
                <w:rFonts w:ascii="Calibri" w:hAnsi="Calibri" w:cs="Calibri"/>
                <w:sz w:val="16"/>
                <w:szCs w:val="16"/>
              </w:rPr>
            </w:pPr>
            <w:r>
              <w:rPr>
                <w:rFonts w:ascii="Calibri" w:hAnsi="Calibri" w:cs="Calibri"/>
                <w:sz w:val="16"/>
                <w:szCs w:val="16"/>
              </w:rPr>
              <w:t xml:space="preserve">                     1 679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4 495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1.30%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0.000%</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24 608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65 865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1.40%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0.006%</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22 392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59 933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2.30%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0.009%</w:t>
            </w:r>
          </w:p>
        </w:tc>
      </w:tr>
      <w:tr w:rsidR="006B3FC1" w:rsidTr="00607DFD">
        <w:trPr>
          <w:trHeight w:hRule="exact" w:val="221"/>
        </w:trPr>
        <w:tc>
          <w:tcPr>
            <w:tcW w:w="1547" w:type="pct"/>
            <w:vMerge w:val="restar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კუვეიტი</w:t>
            </w:r>
          </w:p>
        </w:tc>
        <w:tc>
          <w:tcPr>
            <w:tcW w:w="506" w:type="pct"/>
            <w:vMerge w:val="restar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KWD</w:t>
            </w:r>
          </w:p>
        </w:tc>
        <w:tc>
          <w:tcPr>
            <w:tcW w:w="662" w:type="pct"/>
            <w:shd w:val="clear" w:color="auto" w:fill="auto"/>
            <w:noWrap/>
            <w:vAlign w:val="center"/>
            <w:hideMark/>
          </w:tcPr>
          <w:p w:rsidR="006B3FC1" w:rsidRDefault="006B3FC1" w:rsidP="006B3FC1">
            <w:pPr>
              <w:rPr>
                <w:rFonts w:ascii="Calibri" w:hAnsi="Calibri" w:cs="Calibri"/>
                <w:sz w:val="16"/>
                <w:szCs w:val="16"/>
              </w:rPr>
            </w:pPr>
            <w:r>
              <w:rPr>
                <w:rFonts w:ascii="Calibri" w:hAnsi="Calibri" w:cs="Calibri"/>
                <w:sz w:val="16"/>
                <w:szCs w:val="16"/>
              </w:rPr>
              <w:t xml:space="preserve">                        303 </w:t>
            </w:r>
          </w:p>
        </w:tc>
        <w:tc>
          <w:tcPr>
            <w:tcW w:w="588" w:type="pct"/>
            <w:shd w:val="clear" w:color="auto" w:fill="auto"/>
            <w:noWrap/>
            <w:vAlign w:val="center"/>
            <w:hideMark/>
          </w:tcPr>
          <w:p w:rsidR="006B3FC1" w:rsidRDefault="006B3FC1" w:rsidP="006B3FC1">
            <w:pPr>
              <w:rPr>
                <w:rFonts w:ascii="Calibri" w:hAnsi="Calibri" w:cs="Calibri"/>
                <w:sz w:val="16"/>
                <w:szCs w:val="16"/>
              </w:rPr>
            </w:pPr>
            <w:r>
              <w:rPr>
                <w:rFonts w:ascii="Calibri" w:hAnsi="Calibri" w:cs="Calibri"/>
                <w:sz w:val="16"/>
                <w:szCs w:val="16"/>
              </w:rPr>
              <w:t xml:space="preserve">                       812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2.50%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0.000%</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10 284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27 527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3.00%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0.006%</w:t>
            </w:r>
          </w:p>
        </w:tc>
      </w:tr>
      <w:tr w:rsidR="006B3FC1" w:rsidTr="00607DFD">
        <w:trPr>
          <w:trHeight w:hRule="exact" w:val="221"/>
        </w:trPr>
        <w:tc>
          <w:tcPr>
            <w:tcW w:w="1547" w:type="pct"/>
            <w:vMerge w:val="restar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ნიდერლანდები</w:t>
            </w:r>
          </w:p>
        </w:tc>
        <w:tc>
          <w:tcPr>
            <w:tcW w:w="506" w:type="pct"/>
            <w:vMerge w:val="restar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EUR</w:t>
            </w:r>
          </w:p>
        </w:tc>
        <w:tc>
          <w:tcPr>
            <w:tcW w:w="662" w:type="pct"/>
            <w:shd w:val="clear" w:color="auto" w:fill="auto"/>
            <w:noWrap/>
            <w:vAlign w:val="center"/>
            <w:hideMark/>
          </w:tcPr>
          <w:p w:rsidR="006B3FC1" w:rsidRDefault="006B3FC1" w:rsidP="006B3FC1">
            <w:pPr>
              <w:rPr>
                <w:rFonts w:ascii="Calibri" w:hAnsi="Calibri" w:cs="Calibri"/>
                <w:sz w:val="16"/>
                <w:szCs w:val="16"/>
              </w:rPr>
            </w:pPr>
            <w:r>
              <w:rPr>
                <w:rFonts w:ascii="Calibri" w:hAnsi="Calibri" w:cs="Calibri"/>
                <w:sz w:val="16"/>
                <w:szCs w:val="16"/>
              </w:rPr>
              <w:t xml:space="preserve">                        158 </w:t>
            </w:r>
          </w:p>
        </w:tc>
        <w:tc>
          <w:tcPr>
            <w:tcW w:w="588" w:type="pct"/>
            <w:shd w:val="clear" w:color="auto" w:fill="auto"/>
            <w:noWrap/>
            <w:vAlign w:val="center"/>
            <w:hideMark/>
          </w:tcPr>
          <w:p w:rsidR="006B3FC1" w:rsidRDefault="006B3FC1" w:rsidP="006B3FC1">
            <w:pPr>
              <w:rPr>
                <w:rFonts w:ascii="Calibri" w:hAnsi="Calibri" w:cs="Calibri"/>
                <w:sz w:val="16"/>
                <w:szCs w:val="16"/>
              </w:rPr>
            </w:pPr>
            <w:r>
              <w:rPr>
                <w:rFonts w:ascii="Calibri" w:hAnsi="Calibri" w:cs="Calibri"/>
                <w:sz w:val="16"/>
                <w:szCs w:val="16"/>
              </w:rPr>
              <w:t xml:space="preserve">                       422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4.20%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0.000%</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rsidP="006B3FC1">
            <w:pPr>
              <w:rPr>
                <w:rFonts w:ascii="Calibri" w:hAnsi="Calibri" w:cs="Calibri"/>
                <w:sz w:val="16"/>
                <w:szCs w:val="16"/>
              </w:rPr>
            </w:pPr>
            <w:r>
              <w:rPr>
                <w:rFonts w:ascii="Calibri" w:hAnsi="Calibri" w:cs="Calibri"/>
                <w:sz w:val="16"/>
                <w:szCs w:val="16"/>
              </w:rPr>
              <w:t xml:space="preserve">                         671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1 796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5.10%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0.001%</w:t>
            </w:r>
          </w:p>
        </w:tc>
      </w:tr>
      <w:tr w:rsidR="006B3FC1" w:rsidTr="00607DFD">
        <w:trPr>
          <w:trHeight w:hRule="exact" w:val="221"/>
        </w:trPr>
        <w:tc>
          <w:tcPr>
            <w:tcW w:w="1547" w:type="pct"/>
            <w:vMerge w:val="restar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აშშ</w:t>
            </w:r>
          </w:p>
        </w:tc>
        <w:tc>
          <w:tcPr>
            <w:tcW w:w="506" w:type="pct"/>
            <w:vMerge w:val="restar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USD</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230 </w:t>
            </w:r>
          </w:p>
        </w:tc>
        <w:tc>
          <w:tcPr>
            <w:tcW w:w="588" w:type="pct"/>
            <w:shd w:val="clear" w:color="auto" w:fill="auto"/>
            <w:noWrap/>
            <w:vAlign w:val="center"/>
            <w:hideMark/>
          </w:tcPr>
          <w:p w:rsidR="006B3FC1" w:rsidRDefault="006B3FC1" w:rsidP="006B3FC1">
            <w:pPr>
              <w:rPr>
                <w:rFonts w:ascii="Calibri" w:hAnsi="Calibri" w:cs="Calibri"/>
                <w:sz w:val="16"/>
                <w:szCs w:val="16"/>
              </w:rPr>
            </w:pPr>
            <w:r>
              <w:rPr>
                <w:rFonts w:ascii="Calibri" w:hAnsi="Calibri" w:cs="Calibri"/>
                <w:sz w:val="16"/>
                <w:szCs w:val="16"/>
              </w:rPr>
              <w:t xml:space="preserve">                       615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1.50%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0.000%</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7 772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20 802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2.00%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0.003%</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5 351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14 321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2.25%</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0.002%</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6 891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18 446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2.50%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0.003%</w:t>
            </w:r>
          </w:p>
        </w:tc>
      </w:tr>
      <w:tr w:rsidR="006B3FC1" w:rsidTr="00607DFD">
        <w:trPr>
          <w:trHeight w:hRule="exact" w:val="221"/>
        </w:trPr>
        <w:tc>
          <w:tcPr>
            <w:tcW w:w="1547" w:type="pct"/>
            <w:vMerge w:val="restar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საფრანგეთი</w:t>
            </w:r>
          </w:p>
        </w:tc>
        <w:tc>
          <w:tcPr>
            <w:tcW w:w="506" w:type="pct"/>
            <w:vMerge w:val="restar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EUR</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13 564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36 305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0.17%</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0.000%</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23 520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62 955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1.10%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0.005%</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23 488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62 869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1.27%</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0.005%</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43 938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117 605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1.41%</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0.011%</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68 821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184 206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EURIBOR + 0.33%</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0.33%</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0.004%</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28 675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76 753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EURIBOR + 0.6%</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0.60%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0.003%</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8 218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21 995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EURIBOR + 1.8%</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1.80%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0.003%</w:t>
            </w:r>
          </w:p>
        </w:tc>
      </w:tr>
      <w:tr w:rsidR="006B3FC1" w:rsidTr="00607DFD">
        <w:trPr>
          <w:trHeight w:hRule="exact" w:val="221"/>
        </w:trPr>
        <w:tc>
          <w:tcPr>
            <w:tcW w:w="1547" w:type="pct"/>
            <w:vMerge/>
            <w:tcBorders>
              <w:left w:val="single" w:sz="4" w:space="0" w:color="auto"/>
            </w:tcBorders>
            <w:vAlign w:val="center"/>
            <w:hideMark/>
          </w:tcPr>
          <w:p w:rsidR="006B3FC1" w:rsidRDefault="006B3FC1">
            <w:pPr>
              <w:rPr>
                <w:rFonts w:ascii="Calibri" w:hAnsi="Calibri" w:cs="Calibri"/>
                <w:sz w:val="16"/>
                <w:szCs w:val="16"/>
              </w:rPr>
            </w:pPr>
          </w:p>
        </w:tc>
        <w:tc>
          <w:tcPr>
            <w:tcW w:w="506" w:type="pct"/>
            <w:vMerge/>
            <w:vAlign w:val="center"/>
            <w:hideMark/>
          </w:tcPr>
          <w:p w:rsidR="006B3FC1" w:rsidRDefault="006B3FC1">
            <w:pPr>
              <w:rPr>
                <w:rFonts w:ascii="Calibri" w:hAnsi="Calibri" w:cs="Calibri"/>
                <w:sz w:val="16"/>
                <w:szCs w:val="16"/>
              </w:rPr>
            </w:pP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5 613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15 023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EURIBOR + 2.1%</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2.10%</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0.002%</w:t>
            </w:r>
          </w:p>
        </w:tc>
      </w:tr>
      <w:tr w:rsidR="006B3FC1" w:rsidTr="00607DFD">
        <w:trPr>
          <w:trHeight w:hRule="exact" w:val="439"/>
        </w:trPr>
        <w:tc>
          <w:tcPr>
            <w:tcW w:w="1547" w:type="pct"/>
            <w:tcBorders>
              <w:left w:val="single" w:sz="4" w:space="0" w:color="auto"/>
            </w:tcBorders>
            <w:shd w:val="clear" w:color="000000" w:fill="BFBFBF"/>
            <w:vAlign w:val="center"/>
            <w:hideMark/>
          </w:tcPr>
          <w:p w:rsidR="006B3FC1" w:rsidRDefault="006B3FC1">
            <w:pPr>
              <w:rPr>
                <w:rFonts w:ascii="Calibri" w:hAnsi="Calibri" w:cs="Calibri"/>
                <w:b/>
                <w:bCs/>
                <w:sz w:val="16"/>
                <w:szCs w:val="16"/>
              </w:rPr>
            </w:pPr>
            <w:r>
              <w:rPr>
                <w:rFonts w:ascii="Sylfaen" w:hAnsi="Sylfaen" w:cs="Sylfaen"/>
                <w:b/>
                <w:bCs/>
                <w:sz w:val="16"/>
                <w:szCs w:val="16"/>
              </w:rPr>
              <w:t>ფასიანი</w:t>
            </w:r>
            <w:r>
              <w:rPr>
                <w:rFonts w:ascii="Calibri" w:hAnsi="Calibri" w:cs="Calibri"/>
                <w:b/>
                <w:bCs/>
                <w:sz w:val="16"/>
                <w:szCs w:val="16"/>
              </w:rPr>
              <w:t xml:space="preserve"> </w:t>
            </w:r>
            <w:r>
              <w:rPr>
                <w:rFonts w:ascii="Sylfaen" w:hAnsi="Sylfaen" w:cs="Sylfaen"/>
                <w:b/>
                <w:bCs/>
                <w:sz w:val="16"/>
                <w:szCs w:val="16"/>
              </w:rPr>
              <w:t>ქაღალდები</w:t>
            </w:r>
          </w:p>
        </w:tc>
        <w:tc>
          <w:tcPr>
            <w:tcW w:w="506" w:type="pct"/>
            <w:shd w:val="clear" w:color="000000" w:fill="BFBFBF"/>
            <w:vAlign w:val="center"/>
            <w:hideMark/>
          </w:tcPr>
          <w:p w:rsidR="006B3FC1" w:rsidRDefault="006B3FC1">
            <w:pPr>
              <w:jc w:val="center"/>
              <w:rPr>
                <w:rFonts w:ascii="Calibri" w:hAnsi="Calibri" w:cs="Calibri"/>
                <w:sz w:val="16"/>
                <w:szCs w:val="16"/>
              </w:rPr>
            </w:pPr>
            <w:r>
              <w:rPr>
                <w:rFonts w:ascii="Calibri" w:hAnsi="Calibri" w:cs="Calibri"/>
                <w:sz w:val="16"/>
                <w:szCs w:val="16"/>
              </w:rPr>
              <w:t> </w:t>
            </w:r>
          </w:p>
        </w:tc>
        <w:tc>
          <w:tcPr>
            <w:tcW w:w="662" w:type="pct"/>
            <w:shd w:val="clear" w:color="000000" w:fill="BFBFBF"/>
            <w:noWrap/>
            <w:vAlign w:val="center"/>
            <w:hideMark/>
          </w:tcPr>
          <w:p w:rsidR="006B3FC1" w:rsidRDefault="006B3FC1">
            <w:pPr>
              <w:rPr>
                <w:rFonts w:ascii="Calibri" w:hAnsi="Calibri" w:cs="Calibri"/>
                <w:b/>
                <w:bCs/>
                <w:sz w:val="16"/>
                <w:szCs w:val="16"/>
              </w:rPr>
            </w:pPr>
            <w:r>
              <w:rPr>
                <w:rFonts w:ascii="Calibri" w:hAnsi="Calibri" w:cs="Calibri"/>
                <w:b/>
                <w:bCs/>
                <w:sz w:val="16"/>
                <w:szCs w:val="16"/>
              </w:rPr>
              <w:t xml:space="preserve">                500 000 </w:t>
            </w:r>
          </w:p>
        </w:tc>
        <w:tc>
          <w:tcPr>
            <w:tcW w:w="588" w:type="pct"/>
            <w:shd w:val="clear" w:color="000000" w:fill="BFBFBF"/>
            <w:noWrap/>
            <w:vAlign w:val="center"/>
            <w:hideMark/>
          </w:tcPr>
          <w:p w:rsidR="006B3FC1" w:rsidRDefault="006B3FC1">
            <w:pPr>
              <w:rPr>
                <w:rFonts w:ascii="Calibri" w:hAnsi="Calibri" w:cs="Calibri"/>
                <w:b/>
                <w:bCs/>
                <w:sz w:val="16"/>
                <w:szCs w:val="16"/>
              </w:rPr>
            </w:pPr>
            <w:r>
              <w:rPr>
                <w:rFonts w:ascii="Calibri" w:hAnsi="Calibri" w:cs="Calibri"/>
                <w:b/>
                <w:bCs/>
                <w:sz w:val="16"/>
                <w:szCs w:val="16"/>
              </w:rPr>
              <w:t xml:space="preserve">          1 338 300 </w:t>
            </w:r>
          </w:p>
        </w:tc>
        <w:tc>
          <w:tcPr>
            <w:tcW w:w="596" w:type="pct"/>
            <w:shd w:val="clear" w:color="000000" w:fill="BFBFBF"/>
            <w:noWrap/>
            <w:vAlign w:val="center"/>
            <w:hideMark/>
          </w:tcPr>
          <w:p w:rsidR="006B3FC1" w:rsidRDefault="006B3FC1">
            <w:pPr>
              <w:jc w:val="center"/>
              <w:rPr>
                <w:rFonts w:ascii="Calibri" w:hAnsi="Calibri" w:cs="Calibri"/>
                <w:b/>
                <w:bCs/>
                <w:sz w:val="16"/>
                <w:szCs w:val="16"/>
              </w:rPr>
            </w:pPr>
            <w:r>
              <w:rPr>
                <w:rFonts w:ascii="Calibri" w:hAnsi="Calibri" w:cs="Calibri"/>
                <w:b/>
                <w:bCs/>
                <w:sz w:val="16"/>
                <w:szCs w:val="16"/>
              </w:rPr>
              <w:t> </w:t>
            </w:r>
          </w:p>
        </w:tc>
        <w:tc>
          <w:tcPr>
            <w:tcW w:w="512" w:type="pct"/>
            <w:shd w:val="clear" w:color="000000" w:fill="BFBFBF"/>
            <w:noWrap/>
            <w:vAlign w:val="center"/>
            <w:hideMark/>
          </w:tcPr>
          <w:p w:rsidR="006B3FC1" w:rsidRDefault="006B3FC1">
            <w:pPr>
              <w:jc w:val="center"/>
              <w:rPr>
                <w:rFonts w:ascii="Calibri" w:hAnsi="Calibri" w:cs="Calibri"/>
                <w:b/>
                <w:bCs/>
                <w:sz w:val="16"/>
                <w:szCs w:val="16"/>
              </w:rPr>
            </w:pPr>
            <w:r>
              <w:rPr>
                <w:rFonts w:ascii="Calibri" w:hAnsi="Calibri" w:cs="Calibri"/>
                <w:b/>
                <w:bCs/>
                <w:sz w:val="16"/>
                <w:szCs w:val="16"/>
              </w:rPr>
              <w:t> </w:t>
            </w:r>
          </w:p>
        </w:tc>
        <w:tc>
          <w:tcPr>
            <w:tcW w:w="588" w:type="pct"/>
            <w:tcBorders>
              <w:right w:val="single" w:sz="4" w:space="0" w:color="auto"/>
            </w:tcBorders>
            <w:shd w:val="clear" w:color="000000" w:fill="BFBFBF"/>
            <w:noWrap/>
            <w:vAlign w:val="center"/>
            <w:hideMark/>
          </w:tcPr>
          <w:p w:rsidR="006B3FC1" w:rsidRDefault="006B3FC1">
            <w:pPr>
              <w:jc w:val="center"/>
              <w:rPr>
                <w:rFonts w:ascii="Calibri" w:hAnsi="Calibri" w:cs="Calibri"/>
                <w:b/>
                <w:bCs/>
                <w:sz w:val="16"/>
                <w:szCs w:val="16"/>
              </w:rPr>
            </w:pPr>
            <w:r>
              <w:rPr>
                <w:rFonts w:ascii="Calibri" w:hAnsi="Calibri" w:cs="Calibri"/>
                <w:b/>
                <w:bCs/>
                <w:sz w:val="16"/>
                <w:szCs w:val="16"/>
              </w:rPr>
              <w:t> </w:t>
            </w:r>
          </w:p>
        </w:tc>
      </w:tr>
      <w:tr w:rsidR="006B3FC1" w:rsidTr="00607DFD">
        <w:trPr>
          <w:trHeight w:hRule="exact" w:val="403"/>
        </w:trPr>
        <w:tc>
          <w:tcPr>
            <w:tcW w:w="1547" w:type="pc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ევროობლიგაცია</w:t>
            </w:r>
            <w:r>
              <w:rPr>
                <w:rFonts w:ascii="Calibri" w:hAnsi="Calibri" w:cs="Calibri"/>
                <w:sz w:val="16"/>
                <w:szCs w:val="16"/>
              </w:rPr>
              <w:t xml:space="preserve"> 2021</w:t>
            </w:r>
          </w:p>
        </w:tc>
        <w:tc>
          <w:tcPr>
            <w:tcW w:w="506" w:type="pc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USD</w:t>
            </w:r>
          </w:p>
        </w:tc>
        <w:tc>
          <w:tcPr>
            <w:tcW w:w="662"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500 000 </w:t>
            </w:r>
          </w:p>
        </w:tc>
        <w:tc>
          <w:tcPr>
            <w:tcW w:w="588" w:type="pct"/>
            <w:shd w:val="clear" w:color="auto" w:fill="auto"/>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1 338 300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6.875%</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0.633%</w:t>
            </w:r>
          </w:p>
        </w:tc>
      </w:tr>
      <w:tr w:rsidR="006B3FC1" w:rsidTr="00607DFD">
        <w:trPr>
          <w:trHeight w:hRule="exact" w:val="476"/>
        </w:trPr>
        <w:tc>
          <w:tcPr>
            <w:tcW w:w="1547" w:type="pct"/>
            <w:tcBorders>
              <w:left w:val="single" w:sz="4" w:space="0" w:color="auto"/>
            </w:tcBorders>
            <w:shd w:val="clear" w:color="000000" w:fill="BFBFBF"/>
            <w:vAlign w:val="center"/>
            <w:hideMark/>
          </w:tcPr>
          <w:p w:rsidR="006B3FC1" w:rsidRDefault="006B3FC1">
            <w:pPr>
              <w:rPr>
                <w:rFonts w:ascii="Calibri" w:hAnsi="Calibri" w:cs="Calibri"/>
                <w:b/>
                <w:bCs/>
                <w:sz w:val="16"/>
                <w:szCs w:val="16"/>
              </w:rPr>
            </w:pPr>
            <w:r>
              <w:rPr>
                <w:rFonts w:ascii="Sylfaen" w:hAnsi="Sylfaen" w:cs="Sylfaen"/>
                <w:b/>
                <w:bCs/>
                <w:sz w:val="16"/>
                <w:szCs w:val="16"/>
              </w:rPr>
              <w:t>გარანტირებული</w:t>
            </w:r>
            <w:r>
              <w:rPr>
                <w:rFonts w:ascii="Calibri" w:hAnsi="Calibri" w:cs="Calibri"/>
                <w:b/>
                <w:bCs/>
                <w:sz w:val="16"/>
                <w:szCs w:val="16"/>
              </w:rPr>
              <w:t xml:space="preserve"> </w:t>
            </w:r>
            <w:r>
              <w:rPr>
                <w:rFonts w:ascii="Sylfaen" w:hAnsi="Sylfaen" w:cs="Sylfaen"/>
                <w:b/>
                <w:bCs/>
                <w:sz w:val="16"/>
                <w:szCs w:val="16"/>
              </w:rPr>
              <w:t>კრედიტები</w:t>
            </w:r>
          </w:p>
        </w:tc>
        <w:tc>
          <w:tcPr>
            <w:tcW w:w="506" w:type="pct"/>
            <w:shd w:val="clear" w:color="000000" w:fill="BFBFBF"/>
            <w:vAlign w:val="center"/>
            <w:hideMark/>
          </w:tcPr>
          <w:p w:rsidR="006B3FC1" w:rsidRDefault="006B3FC1">
            <w:pPr>
              <w:jc w:val="center"/>
              <w:rPr>
                <w:rFonts w:ascii="Calibri" w:hAnsi="Calibri" w:cs="Calibri"/>
                <w:sz w:val="16"/>
                <w:szCs w:val="16"/>
              </w:rPr>
            </w:pPr>
            <w:r>
              <w:rPr>
                <w:rFonts w:ascii="Calibri" w:hAnsi="Calibri" w:cs="Calibri"/>
                <w:sz w:val="16"/>
                <w:szCs w:val="16"/>
              </w:rPr>
              <w:t> </w:t>
            </w:r>
          </w:p>
        </w:tc>
        <w:tc>
          <w:tcPr>
            <w:tcW w:w="662" w:type="pct"/>
            <w:shd w:val="clear" w:color="000000" w:fill="BFBFBF"/>
            <w:noWrap/>
            <w:vAlign w:val="center"/>
            <w:hideMark/>
          </w:tcPr>
          <w:p w:rsidR="006B3FC1" w:rsidRDefault="006B3FC1">
            <w:pPr>
              <w:rPr>
                <w:rFonts w:ascii="Calibri" w:hAnsi="Calibri" w:cs="Calibri"/>
                <w:b/>
                <w:bCs/>
                <w:sz w:val="16"/>
                <w:szCs w:val="16"/>
              </w:rPr>
            </w:pPr>
            <w:r>
              <w:rPr>
                <w:rFonts w:ascii="Calibri" w:hAnsi="Calibri" w:cs="Calibri"/>
                <w:b/>
                <w:bCs/>
                <w:sz w:val="16"/>
                <w:szCs w:val="16"/>
              </w:rPr>
              <w:t xml:space="preserve">                      1 856 </w:t>
            </w:r>
          </w:p>
        </w:tc>
        <w:tc>
          <w:tcPr>
            <w:tcW w:w="588" w:type="pct"/>
            <w:shd w:val="clear" w:color="000000" w:fill="BFBFBF"/>
            <w:noWrap/>
            <w:vAlign w:val="center"/>
            <w:hideMark/>
          </w:tcPr>
          <w:p w:rsidR="006B3FC1" w:rsidRDefault="006B3FC1">
            <w:pPr>
              <w:rPr>
                <w:rFonts w:ascii="Calibri" w:hAnsi="Calibri" w:cs="Calibri"/>
                <w:b/>
                <w:bCs/>
                <w:sz w:val="16"/>
                <w:szCs w:val="16"/>
              </w:rPr>
            </w:pPr>
            <w:r>
              <w:rPr>
                <w:rFonts w:ascii="Calibri" w:hAnsi="Calibri" w:cs="Calibri"/>
                <w:b/>
                <w:bCs/>
                <w:sz w:val="16"/>
                <w:szCs w:val="16"/>
              </w:rPr>
              <w:t xml:space="preserve">                    4 968 </w:t>
            </w:r>
          </w:p>
        </w:tc>
        <w:tc>
          <w:tcPr>
            <w:tcW w:w="596" w:type="pct"/>
            <w:shd w:val="clear" w:color="000000" w:fill="BFBFBF"/>
            <w:noWrap/>
            <w:vAlign w:val="center"/>
            <w:hideMark/>
          </w:tcPr>
          <w:p w:rsidR="006B3FC1" w:rsidRDefault="006B3FC1">
            <w:pPr>
              <w:jc w:val="center"/>
              <w:rPr>
                <w:rFonts w:ascii="Calibri" w:hAnsi="Calibri" w:cs="Calibri"/>
                <w:b/>
                <w:bCs/>
                <w:sz w:val="16"/>
                <w:szCs w:val="16"/>
              </w:rPr>
            </w:pPr>
            <w:r>
              <w:rPr>
                <w:rFonts w:ascii="Calibri" w:hAnsi="Calibri" w:cs="Calibri"/>
                <w:b/>
                <w:bCs/>
                <w:sz w:val="16"/>
                <w:szCs w:val="16"/>
              </w:rPr>
              <w:t xml:space="preserve"> Fixed </w:t>
            </w:r>
          </w:p>
        </w:tc>
        <w:tc>
          <w:tcPr>
            <w:tcW w:w="512" w:type="pct"/>
            <w:shd w:val="clear" w:color="000000" w:fill="BFBFBF"/>
            <w:noWrap/>
            <w:vAlign w:val="center"/>
            <w:hideMark/>
          </w:tcPr>
          <w:p w:rsidR="006B3FC1" w:rsidRDefault="006B3FC1">
            <w:pPr>
              <w:jc w:val="center"/>
              <w:rPr>
                <w:rFonts w:ascii="Calibri" w:hAnsi="Calibri" w:cs="Calibri"/>
                <w:b/>
                <w:bCs/>
                <w:sz w:val="16"/>
                <w:szCs w:val="16"/>
              </w:rPr>
            </w:pPr>
            <w:r>
              <w:rPr>
                <w:rFonts w:ascii="Calibri" w:hAnsi="Calibri" w:cs="Calibri"/>
                <w:b/>
                <w:bCs/>
                <w:sz w:val="16"/>
                <w:szCs w:val="16"/>
              </w:rPr>
              <w:t> </w:t>
            </w:r>
          </w:p>
        </w:tc>
        <w:tc>
          <w:tcPr>
            <w:tcW w:w="588" w:type="pct"/>
            <w:tcBorders>
              <w:right w:val="single" w:sz="4" w:space="0" w:color="auto"/>
            </w:tcBorders>
            <w:shd w:val="clear" w:color="000000" w:fill="BFBFBF"/>
            <w:noWrap/>
            <w:vAlign w:val="center"/>
            <w:hideMark/>
          </w:tcPr>
          <w:p w:rsidR="006B3FC1" w:rsidRDefault="006B3FC1">
            <w:pPr>
              <w:jc w:val="center"/>
              <w:rPr>
                <w:rFonts w:ascii="Calibri" w:hAnsi="Calibri" w:cs="Calibri"/>
                <w:b/>
                <w:bCs/>
                <w:sz w:val="16"/>
                <w:szCs w:val="16"/>
              </w:rPr>
            </w:pPr>
            <w:r>
              <w:rPr>
                <w:rFonts w:ascii="Calibri" w:hAnsi="Calibri" w:cs="Calibri"/>
                <w:b/>
                <w:bCs/>
                <w:sz w:val="16"/>
                <w:szCs w:val="16"/>
              </w:rPr>
              <w:t> </w:t>
            </w:r>
          </w:p>
        </w:tc>
      </w:tr>
      <w:tr w:rsidR="006B3FC1" w:rsidTr="00607DFD">
        <w:trPr>
          <w:trHeight w:hRule="exact" w:val="386"/>
        </w:trPr>
        <w:tc>
          <w:tcPr>
            <w:tcW w:w="1547" w:type="pct"/>
            <w:tcBorders>
              <w:left w:val="single" w:sz="4" w:space="0" w:color="auto"/>
            </w:tcBorders>
            <w:shd w:val="clear" w:color="000000" w:fill="FFFFFF"/>
            <w:vAlign w:val="center"/>
            <w:hideMark/>
          </w:tcPr>
          <w:p w:rsidR="006B3FC1" w:rsidRDefault="006B3FC1">
            <w:pPr>
              <w:rPr>
                <w:rFonts w:ascii="Calibri" w:hAnsi="Calibri" w:cs="Calibri"/>
                <w:sz w:val="16"/>
                <w:szCs w:val="16"/>
              </w:rPr>
            </w:pPr>
            <w:r>
              <w:rPr>
                <w:rFonts w:ascii="Sylfaen" w:hAnsi="Sylfaen" w:cs="Sylfaen"/>
                <w:sz w:val="16"/>
                <w:szCs w:val="16"/>
              </w:rPr>
              <w:t>გერმანია</w:t>
            </w:r>
            <w:r>
              <w:rPr>
                <w:rFonts w:ascii="Calibri" w:hAnsi="Calibri" w:cs="Calibri"/>
                <w:sz w:val="16"/>
                <w:szCs w:val="16"/>
              </w:rPr>
              <w:t xml:space="preserve"> (KfW)</w:t>
            </w:r>
          </w:p>
        </w:tc>
        <w:tc>
          <w:tcPr>
            <w:tcW w:w="506" w:type="pct"/>
            <w:shd w:val="clear" w:color="000000" w:fill="FFFFFF"/>
            <w:vAlign w:val="center"/>
            <w:hideMark/>
          </w:tcPr>
          <w:p w:rsidR="006B3FC1" w:rsidRDefault="006B3FC1">
            <w:pPr>
              <w:jc w:val="center"/>
              <w:rPr>
                <w:rFonts w:ascii="Calibri" w:hAnsi="Calibri" w:cs="Calibri"/>
                <w:sz w:val="16"/>
                <w:szCs w:val="16"/>
              </w:rPr>
            </w:pPr>
            <w:r>
              <w:rPr>
                <w:rFonts w:ascii="Calibri" w:hAnsi="Calibri" w:cs="Calibri"/>
                <w:sz w:val="16"/>
                <w:szCs w:val="16"/>
              </w:rPr>
              <w:t>EUR</w:t>
            </w:r>
          </w:p>
        </w:tc>
        <w:tc>
          <w:tcPr>
            <w:tcW w:w="662" w:type="pct"/>
            <w:shd w:val="clear" w:color="000000" w:fill="FFFFFF"/>
            <w:noWrap/>
            <w:vAlign w:val="center"/>
            <w:hideMark/>
          </w:tcPr>
          <w:p w:rsidR="006B3FC1" w:rsidRDefault="006B3FC1">
            <w:pPr>
              <w:rPr>
                <w:rFonts w:ascii="Calibri" w:hAnsi="Calibri" w:cs="Calibri"/>
                <w:sz w:val="16"/>
                <w:szCs w:val="16"/>
              </w:rPr>
            </w:pPr>
            <w:r>
              <w:rPr>
                <w:rFonts w:ascii="Calibri" w:hAnsi="Calibri" w:cs="Calibri"/>
                <w:sz w:val="16"/>
                <w:szCs w:val="16"/>
              </w:rPr>
              <w:t xml:space="preserve">                      1 856 </w:t>
            </w:r>
          </w:p>
        </w:tc>
        <w:tc>
          <w:tcPr>
            <w:tcW w:w="588" w:type="pct"/>
            <w:shd w:val="clear" w:color="000000" w:fill="FFFFFF"/>
            <w:noWrap/>
            <w:vAlign w:val="center"/>
            <w:hideMark/>
          </w:tcPr>
          <w:p w:rsidR="006B3FC1" w:rsidRDefault="006B3FC1">
            <w:pPr>
              <w:rPr>
                <w:rFonts w:ascii="Calibri" w:hAnsi="Calibri" w:cs="Calibri"/>
                <w:sz w:val="16"/>
                <w:szCs w:val="16"/>
              </w:rPr>
            </w:pPr>
            <w:r>
              <w:rPr>
                <w:rFonts w:ascii="Calibri" w:hAnsi="Calibri" w:cs="Calibri"/>
                <w:sz w:val="16"/>
                <w:szCs w:val="16"/>
              </w:rPr>
              <w:t xml:space="preserve">                    4 968 </w:t>
            </w:r>
          </w:p>
        </w:tc>
        <w:tc>
          <w:tcPr>
            <w:tcW w:w="596"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Fixed</w:t>
            </w:r>
          </w:p>
        </w:tc>
        <w:tc>
          <w:tcPr>
            <w:tcW w:w="512" w:type="pct"/>
            <w:shd w:val="clear" w:color="000000" w:fill="FFFFFF"/>
            <w:noWrap/>
            <w:vAlign w:val="center"/>
            <w:hideMark/>
          </w:tcPr>
          <w:p w:rsidR="006B3FC1" w:rsidRDefault="006B3FC1">
            <w:pPr>
              <w:jc w:val="center"/>
              <w:rPr>
                <w:rFonts w:ascii="Calibri" w:hAnsi="Calibri" w:cs="Calibri"/>
                <w:sz w:val="16"/>
                <w:szCs w:val="16"/>
              </w:rPr>
            </w:pPr>
            <w:r>
              <w:rPr>
                <w:rFonts w:ascii="Calibri" w:hAnsi="Calibri" w:cs="Calibri"/>
                <w:sz w:val="16"/>
                <w:szCs w:val="16"/>
              </w:rPr>
              <w:t>0.75%</w:t>
            </w:r>
          </w:p>
        </w:tc>
        <w:tc>
          <w:tcPr>
            <w:tcW w:w="588" w:type="pct"/>
            <w:tcBorders>
              <w:right w:val="single" w:sz="4" w:space="0" w:color="auto"/>
            </w:tcBorders>
            <w:shd w:val="clear" w:color="auto" w:fill="auto"/>
            <w:noWrap/>
            <w:vAlign w:val="center"/>
            <w:hideMark/>
          </w:tcPr>
          <w:p w:rsidR="006B3FC1" w:rsidRDefault="006B3FC1">
            <w:pPr>
              <w:jc w:val="center"/>
              <w:rPr>
                <w:rFonts w:ascii="Calibri" w:hAnsi="Calibri" w:cs="Calibri"/>
                <w:sz w:val="16"/>
                <w:szCs w:val="16"/>
              </w:rPr>
            </w:pPr>
            <w:r>
              <w:rPr>
                <w:rFonts w:ascii="Calibri" w:hAnsi="Calibri" w:cs="Calibri"/>
                <w:sz w:val="16"/>
                <w:szCs w:val="16"/>
              </w:rPr>
              <w:t>0.000%</w:t>
            </w:r>
          </w:p>
        </w:tc>
      </w:tr>
      <w:tr w:rsidR="006C7F85" w:rsidRPr="006C7F85" w:rsidTr="00607DFD">
        <w:trPr>
          <w:trHeight w:hRule="exact" w:val="320"/>
        </w:trPr>
        <w:tc>
          <w:tcPr>
            <w:tcW w:w="2053" w:type="pct"/>
            <w:gridSpan w:val="2"/>
            <w:tcBorders>
              <w:left w:val="single" w:sz="4" w:space="0" w:color="auto"/>
              <w:bottom w:val="single" w:sz="4" w:space="0" w:color="auto"/>
            </w:tcBorders>
            <w:shd w:val="clear" w:color="000000" w:fill="FFFFFF"/>
            <w:noWrap/>
            <w:vAlign w:val="center"/>
            <w:hideMark/>
          </w:tcPr>
          <w:p w:rsidR="006B3FC1" w:rsidRPr="006C7F85" w:rsidRDefault="006B3FC1">
            <w:pPr>
              <w:rPr>
                <w:rFonts w:ascii="Calibri" w:hAnsi="Calibri" w:cs="Calibri"/>
                <w:sz w:val="16"/>
                <w:szCs w:val="16"/>
              </w:rPr>
            </w:pPr>
            <w:r w:rsidRPr="006C7F85">
              <w:rPr>
                <w:rFonts w:ascii="Calibri" w:hAnsi="Calibri" w:cs="Calibri"/>
                <w:sz w:val="16"/>
                <w:szCs w:val="16"/>
              </w:rPr>
              <w:t> </w:t>
            </w:r>
          </w:p>
        </w:tc>
        <w:tc>
          <w:tcPr>
            <w:tcW w:w="2358" w:type="pct"/>
            <w:gridSpan w:val="4"/>
            <w:tcBorders>
              <w:bottom w:val="single" w:sz="4" w:space="0" w:color="auto"/>
            </w:tcBorders>
            <w:shd w:val="clear" w:color="auto" w:fill="auto"/>
            <w:noWrap/>
            <w:vAlign w:val="center"/>
            <w:hideMark/>
          </w:tcPr>
          <w:p w:rsidR="006B3FC1" w:rsidRPr="006C7F85" w:rsidRDefault="006B3FC1">
            <w:pPr>
              <w:jc w:val="center"/>
              <w:rPr>
                <w:rFonts w:ascii="Calibri" w:hAnsi="Calibri" w:cs="Calibri"/>
                <w:b/>
                <w:bCs/>
                <w:sz w:val="16"/>
                <w:szCs w:val="16"/>
              </w:rPr>
            </w:pPr>
            <w:r w:rsidRPr="006C7F85">
              <w:rPr>
                <w:rFonts w:ascii="Sylfaen" w:hAnsi="Sylfaen" w:cs="Sylfaen"/>
                <w:b/>
                <w:bCs/>
                <w:sz w:val="16"/>
                <w:szCs w:val="16"/>
              </w:rPr>
              <w:t>საშუალო</w:t>
            </w:r>
            <w:r w:rsidRPr="006C7F85">
              <w:rPr>
                <w:rFonts w:ascii="Calibri" w:hAnsi="Calibri" w:cs="Calibri"/>
                <w:b/>
                <w:bCs/>
                <w:sz w:val="16"/>
                <w:szCs w:val="16"/>
              </w:rPr>
              <w:t xml:space="preserve"> </w:t>
            </w:r>
            <w:r w:rsidRPr="006C7F85">
              <w:rPr>
                <w:rFonts w:ascii="Sylfaen" w:hAnsi="Sylfaen" w:cs="Sylfaen"/>
                <w:b/>
                <w:bCs/>
                <w:sz w:val="16"/>
                <w:szCs w:val="16"/>
              </w:rPr>
              <w:t>შეწონილი</w:t>
            </w:r>
            <w:r w:rsidRPr="006C7F85">
              <w:rPr>
                <w:rFonts w:ascii="Calibri" w:hAnsi="Calibri" w:cs="Calibri"/>
                <w:b/>
                <w:bCs/>
                <w:sz w:val="16"/>
                <w:szCs w:val="16"/>
              </w:rPr>
              <w:t xml:space="preserve"> </w:t>
            </w:r>
            <w:r w:rsidRPr="006C7F85">
              <w:rPr>
                <w:rFonts w:ascii="Sylfaen" w:hAnsi="Sylfaen" w:cs="Sylfaen"/>
                <w:b/>
                <w:bCs/>
                <w:sz w:val="16"/>
                <w:szCs w:val="16"/>
              </w:rPr>
              <w:t>საპროცენტო</w:t>
            </w:r>
            <w:r w:rsidRPr="006C7F85">
              <w:rPr>
                <w:rFonts w:ascii="Calibri" w:hAnsi="Calibri" w:cs="Calibri"/>
                <w:b/>
                <w:bCs/>
                <w:sz w:val="16"/>
                <w:szCs w:val="16"/>
              </w:rPr>
              <w:t xml:space="preserve"> </w:t>
            </w:r>
            <w:r w:rsidRPr="006C7F85">
              <w:rPr>
                <w:rFonts w:ascii="Sylfaen" w:hAnsi="Sylfaen" w:cs="Sylfaen"/>
                <w:b/>
                <w:bCs/>
                <w:sz w:val="16"/>
                <w:szCs w:val="16"/>
              </w:rPr>
              <w:t>განაკვეთი</w:t>
            </w:r>
          </w:p>
        </w:tc>
        <w:tc>
          <w:tcPr>
            <w:tcW w:w="588" w:type="pct"/>
            <w:tcBorders>
              <w:bottom w:val="single" w:sz="4" w:space="0" w:color="auto"/>
              <w:right w:val="single" w:sz="4" w:space="0" w:color="auto"/>
            </w:tcBorders>
            <w:shd w:val="clear" w:color="auto" w:fill="auto"/>
            <w:noWrap/>
            <w:vAlign w:val="center"/>
            <w:hideMark/>
          </w:tcPr>
          <w:p w:rsidR="006B3FC1" w:rsidRPr="006C7F85" w:rsidRDefault="006B3FC1">
            <w:pPr>
              <w:jc w:val="center"/>
              <w:rPr>
                <w:rFonts w:ascii="Calibri" w:hAnsi="Calibri" w:cs="Calibri"/>
                <w:b/>
                <w:bCs/>
                <w:sz w:val="16"/>
                <w:szCs w:val="16"/>
              </w:rPr>
            </w:pPr>
            <w:r w:rsidRPr="006C7F85">
              <w:rPr>
                <w:rFonts w:ascii="Calibri" w:hAnsi="Calibri" w:cs="Calibri"/>
                <w:b/>
                <w:bCs/>
                <w:sz w:val="16"/>
                <w:szCs w:val="16"/>
              </w:rPr>
              <w:t>2.200%</w:t>
            </w:r>
          </w:p>
        </w:tc>
      </w:tr>
    </w:tbl>
    <w:p w:rsidR="00071D1D" w:rsidRPr="006C7F85" w:rsidRDefault="00071D1D" w:rsidP="006B3FC1">
      <w:pPr>
        <w:tabs>
          <w:tab w:val="left" w:pos="360"/>
        </w:tabs>
        <w:spacing w:after="0" w:line="240" w:lineRule="auto"/>
        <w:jc w:val="center"/>
        <w:rPr>
          <w:rFonts w:ascii="Sylfaen" w:hAnsi="Sylfaen"/>
          <w:b/>
          <w:lang w:val="ka-GE"/>
        </w:rPr>
      </w:pPr>
    </w:p>
    <w:p w:rsidR="00C3279B" w:rsidRDefault="00C3279B">
      <w:pPr>
        <w:rPr>
          <w:rFonts w:ascii="Sylfaen" w:hAnsi="Sylfaen" w:cs="Sylfaen"/>
          <w:szCs w:val="21"/>
          <w:shd w:val="clear" w:color="auto" w:fill="FFFFFF"/>
          <w:lang w:val="ka-GE"/>
        </w:rPr>
      </w:pPr>
      <w:r>
        <w:rPr>
          <w:rFonts w:ascii="Sylfaen" w:hAnsi="Sylfaen" w:cs="Sylfaen"/>
          <w:szCs w:val="21"/>
          <w:shd w:val="clear" w:color="auto" w:fill="FFFFFF"/>
          <w:lang w:val="ka-GE"/>
        </w:rPr>
        <w:br w:type="page"/>
      </w:r>
    </w:p>
    <w:p w:rsidR="00797BDC" w:rsidRDefault="00B830F8" w:rsidP="00797BDC">
      <w:pPr>
        <w:tabs>
          <w:tab w:val="left" w:pos="720"/>
        </w:tabs>
        <w:spacing w:after="240" w:line="240" w:lineRule="auto"/>
        <w:ind w:firstLine="720"/>
        <w:jc w:val="both"/>
        <w:rPr>
          <w:rFonts w:ascii="Sylfaen" w:hAnsi="Sylfaen" w:cs="Sylfaen"/>
          <w:szCs w:val="21"/>
          <w:shd w:val="clear" w:color="auto" w:fill="FFFFFF"/>
          <w:lang w:val="ka-GE"/>
        </w:rPr>
      </w:pPr>
      <w:r w:rsidRPr="002D6086">
        <w:rPr>
          <w:rFonts w:ascii="Sylfaen" w:hAnsi="Sylfaen" w:cs="Sylfaen"/>
          <w:szCs w:val="21"/>
          <w:shd w:val="clear" w:color="auto" w:fill="FFFFFF"/>
          <w:lang w:val="ka-GE"/>
        </w:rPr>
        <w:lastRenderedPageBreak/>
        <w:t>სახელმწიფო</w:t>
      </w:r>
      <w:r w:rsidRPr="002D6086">
        <w:rPr>
          <w:rFonts w:ascii="Sylfaen" w:hAnsi="Sylfaen" w:cs="Sylfaen"/>
          <w:szCs w:val="21"/>
          <w:shd w:val="clear" w:color="auto" w:fill="FFFFFF"/>
        </w:rPr>
        <w:t xml:space="preserve"> </w:t>
      </w:r>
      <w:r w:rsidRPr="002D6086">
        <w:rPr>
          <w:rFonts w:ascii="Sylfaen" w:hAnsi="Sylfaen" w:cs="Sylfaen"/>
          <w:szCs w:val="21"/>
          <w:shd w:val="clear" w:color="auto" w:fill="FFFFFF"/>
          <w:lang w:val="ka-GE"/>
        </w:rPr>
        <w:t>საგარეო</w:t>
      </w:r>
      <w:r w:rsidRPr="002D6086">
        <w:rPr>
          <w:rFonts w:ascii="Sylfaen" w:hAnsi="Sylfaen" w:cs="Sylfaen"/>
          <w:szCs w:val="21"/>
          <w:shd w:val="clear" w:color="auto" w:fill="FFFFFF"/>
        </w:rPr>
        <w:t xml:space="preserve"> </w:t>
      </w:r>
      <w:r w:rsidRPr="002D6086">
        <w:rPr>
          <w:rFonts w:ascii="Sylfaen" w:hAnsi="Sylfaen" w:cs="Sylfaen"/>
          <w:szCs w:val="21"/>
          <w:shd w:val="clear" w:color="auto" w:fill="FFFFFF"/>
          <w:lang w:val="ka-GE"/>
        </w:rPr>
        <w:t>ვალდებულებების</w:t>
      </w:r>
      <w:r w:rsidRPr="002D6086">
        <w:rPr>
          <w:rFonts w:ascii="Sylfaen" w:hAnsi="Sylfaen" w:cs="Sylfaen"/>
          <w:szCs w:val="21"/>
          <w:shd w:val="clear" w:color="auto" w:fill="FFFFFF"/>
        </w:rPr>
        <w:t xml:space="preserve"> </w:t>
      </w:r>
      <w:r w:rsidRPr="002D6086">
        <w:rPr>
          <w:rFonts w:ascii="Sylfaen" w:hAnsi="Sylfaen" w:cs="Sylfaen"/>
          <w:szCs w:val="21"/>
          <w:shd w:val="clear" w:color="auto" w:fill="FFFFFF"/>
          <w:lang w:val="ka-GE"/>
        </w:rPr>
        <w:t>მომსახურებისა</w:t>
      </w:r>
      <w:r w:rsidRPr="002D6086">
        <w:rPr>
          <w:rFonts w:ascii="Sylfaen" w:hAnsi="Sylfaen" w:cs="Sylfaen"/>
          <w:szCs w:val="21"/>
          <w:shd w:val="clear" w:color="auto" w:fill="FFFFFF"/>
        </w:rPr>
        <w:t xml:space="preserve"> </w:t>
      </w:r>
      <w:r w:rsidRPr="002D6086">
        <w:rPr>
          <w:rFonts w:ascii="Sylfaen" w:hAnsi="Sylfaen" w:cs="Sylfaen"/>
          <w:szCs w:val="21"/>
          <w:shd w:val="clear" w:color="auto" w:fill="FFFFFF"/>
          <w:lang w:val="ka-GE"/>
        </w:rPr>
        <w:t>და</w:t>
      </w:r>
      <w:r w:rsidRPr="002D6086">
        <w:rPr>
          <w:rFonts w:ascii="Sylfaen" w:hAnsi="Sylfaen" w:cs="Sylfaen"/>
          <w:szCs w:val="21"/>
          <w:shd w:val="clear" w:color="auto" w:fill="FFFFFF"/>
        </w:rPr>
        <w:t xml:space="preserve"> </w:t>
      </w:r>
      <w:r w:rsidRPr="002D6086">
        <w:rPr>
          <w:rFonts w:ascii="Sylfaen" w:hAnsi="Sylfaen" w:cs="Sylfaen"/>
          <w:szCs w:val="21"/>
          <w:shd w:val="clear" w:color="auto" w:fill="FFFFFF"/>
          <w:lang w:val="ka-GE"/>
        </w:rPr>
        <w:t>დაფარვისათვის</w:t>
      </w:r>
      <w:r w:rsidRPr="002D6086">
        <w:rPr>
          <w:rFonts w:ascii="Sylfaen" w:hAnsi="Sylfaen" w:cs="Sylfaen"/>
          <w:szCs w:val="21"/>
          <w:shd w:val="clear" w:color="auto" w:fill="FFFFFF"/>
        </w:rPr>
        <w:t xml:space="preserve"> </w:t>
      </w:r>
      <w:r w:rsidRPr="002D6086">
        <w:rPr>
          <w:rFonts w:ascii="Sylfaen" w:hAnsi="Sylfaen" w:cs="Sylfaen"/>
          <w:szCs w:val="21"/>
          <w:shd w:val="clear" w:color="auto" w:fill="FFFFFF"/>
          <w:lang w:val="ka-GE"/>
        </w:rPr>
        <w:t>საქართველოს</w:t>
      </w:r>
      <w:r w:rsidRPr="002D6086">
        <w:rPr>
          <w:rFonts w:ascii="Sylfaen" w:hAnsi="Sylfaen" w:cs="Sylfaen"/>
          <w:szCs w:val="21"/>
          <w:shd w:val="clear" w:color="auto" w:fill="FFFFFF"/>
        </w:rPr>
        <w:t xml:space="preserve"> </w:t>
      </w:r>
      <w:r w:rsidR="000F5720" w:rsidRPr="002D6086">
        <w:rPr>
          <w:rFonts w:ascii="Sylfaen" w:hAnsi="Sylfaen" w:cs="Sylfaen"/>
          <w:szCs w:val="21"/>
          <w:shd w:val="clear" w:color="auto" w:fill="FFFFFF"/>
          <w:lang w:val="ka-GE"/>
        </w:rPr>
        <w:t>201</w:t>
      </w:r>
      <w:r w:rsidR="000F5720">
        <w:rPr>
          <w:rFonts w:ascii="Sylfaen" w:hAnsi="Sylfaen" w:cs="Sylfaen"/>
          <w:szCs w:val="21"/>
          <w:shd w:val="clear" w:color="auto" w:fill="FFFFFF"/>
          <w:lang w:val="ka-GE"/>
        </w:rPr>
        <w:t>8</w:t>
      </w:r>
      <w:r w:rsidR="000F5720" w:rsidRPr="002D6086">
        <w:rPr>
          <w:rFonts w:ascii="Sylfaen" w:hAnsi="Sylfaen" w:cs="Sylfaen"/>
          <w:szCs w:val="21"/>
          <w:shd w:val="clear" w:color="auto" w:fill="FFFFFF"/>
        </w:rPr>
        <w:t xml:space="preserve"> </w:t>
      </w:r>
      <w:r w:rsidRPr="002D6086">
        <w:rPr>
          <w:rFonts w:ascii="Sylfaen" w:hAnsi="Sylfaen" w:cs="Sylfaen"/>
          <w:szCs w:val="21"/>
          <w:shd w:val="clear" w:color="auto" w:fill="FFFFFF"/>
          <w:lang w:val="ka-GE"/>
        </w:rPr>
        <w:t>წლის</w:t>
      </w:r>
      <w:r>
        <w:rPr>
          <w:rFonts w:ascii="Sylfaen" w:hAnsi="Sylfaen" w:cs="Sylfaen"/>
          <w:szCs w:val="21"/>
          <w:shd w:val="clear" w:color="auto" w:fill="FFFFFF"/>
          <w:lang w:val="ka-GE"/>
        </w:rPr>
        <w:t xml:space="preserve"> </w:t>
      </w:r>
      <w:r w:rsidRPr="002D6086">
        <w:rPr>
          <w:rFonts w:ascii="Sylfaen" w:hAnsi="Sylfaen" w:cs="Sylfaen"/>
          <w:szCs w:val="21"/>
          <w:shd w:val="clear" w:color="auto" w:fill="FFFFFF"/>
          <w:lang w:val="ka-GE"/>
        </w:rPr>
        <w:t>სახელმწიფო</w:t>
      </w:r>
      <w:r w:rsidRPr="002D6086">
        <w:rPr>
          <w:rFonts w:ascii="Sylfaen" w:hAnsi="Sylfaen" w:cs="Sylfaen"/>
          <w:szCs w:val="21"/>
          <w:shd w:val="clear" w:color="auto" w:fill="FFFFFF"/>
        </w:rPr>
        <w:t xml:space="preserve"> </w:t>
      </w:r>
      <w:r w:rsidRPr="00C2136E">
        <w:rPr>
          <w:rFonts w:ascii="Sylfaen" w:hAnsi="Sylfaen" w:cs="Sylfaen"/>
          <w:szCs w:val="21"/>
          <w:shd w:val="clear" w:color="auto" w:fill="FFFFFF"/>
          <w:lang w:val="ka-GE"/>
        </w:rPr>
        <w:t>ბიუჯეტიდან</w:t>
      </w:r>
      <w:r w:rsidRPr="00C2136E">
        <w:rPr>
          <w:rFonts w:ascii="Sylfaen" w:hAnsi="Sylfaen" w:cs="Sylfaen"/>
          <w:szCs w:val="21"/>
          <w:shd w:val="clear" w:color="auto" w:fill="FFFFFF"/>
        </w:rPr>
        <w:t xml:space="preserve"> </w:t>
      </w:r>
      <w:r w:rsidRPr="00C2136E">
        <w:rPr>
          <w:rFonts w:ascii="Sylfaen" w:hAnsi="Sylfaen" w:cs="Sylfaen"/>
          <w:szCs w:val="21"/>
          <w:shd w:val="clear" w:color="auto" w:fill="FFFFFF"/>
          <w:lang w:val="ka-GE"/>
        </w:rPr>
        <w:t xml:space="preserve">დაიხარჯა </w:t>
      </w:r>
      <w:r w:rsidR="009F177E" w:rsidRPr="009F177E">
        <w:rPr>
          <w:rFonts w:ascii="Sylfaen" w:hAnsi="Sylfaen" w:cs="Sylfaen"/>
          <w:szCs w:val="21"/>
          <w:shd w:val="clear" w:color="auto" w:fill="FFFFFF"/>
        </w:rPr>
        <w:t>983</w:t>
      </w:r>
      <w:r w:rsidR="009F177E">
        <w:rPr>
          <w:rFonts w:ascii="Sylfaen" w:hAnsi="Sylfaen" w:cs="Sylfaen"/>
          <w:szCs w:val="21"/>
          <w:shd w:val="clear" w:color="auto" w:fill="FFFFFF"/>
          <w:lang w:val="ka-GE"/>
        </w:rPr>
        <w:t>,</w:t>
      </w:r>
      <w:r w:rsidR="009F177E" w:rsidRPr="009F177E">
        <w:rPr>
          <w:rFonts w:ascii="Sylfaen" w:hAnsi="Sylfaen" w:cs="Sylfaen"/>
          <w:szCs w:val="21"/>
          <w:shd w:val="clear" w:color="auto" w:fill="FFFFFF"/>
        </w:rPr>
        <w:t>556.2</w:t>
      </w:r>
      <w:r w:rsidR="009F177E">
        <w:rPr>
          <w:rFonts w:ascii="Sylfaen" w:hAnsi="Sylfaen" w:cs="Sylfaen"/>
          <w:szCs w:val="21"/>
          <w:shd w:val="clear" w:color="auto" w:fill="FFFFFF"/>
          <w:lang w:val="ka-GE"/>
        </w:rPr>
        <w:t xml:space="preserve"> </w:t>
      </w:r>
      <w:r w:rsidRPr="00C2136E">
        <w:rPr>
          <w:rFonts w:ascii="Sylfaen" w:hAnsi="Sylfaen" w:cs="Sylfaen"/>
          <w:szCs w:val="21"/>
          <w:shd w:val="clear" w:color="auto" w:fill="FFFFFF"/>
          <w:lang w:val="ka-GE"/>
        </w:rPr>
        <w:t>ათასი</w:t>
      </w:r>
      <w:r w:rsidRPr="00071A4F">
        <w:rPr>
          <w:rFonts w:ascii="Sylfaen" w:hAnsi="Sylfaen" w:cs="Sylfaen"/>
          <w:szCs w:val="21"/>
          <w:shd w:val="clear" w:color="auto" w:fill="FFFFFF"/>
        </w:rPr>
        <w:t xml:space="preserve"> </w:t>
      </w:r>
      <w:r w:rsidRPr="00071A4F">
        <w:rPr>
          <w:rFonts w:ascii="Sylfaen" w:hAnsi="Sylfaen" w:cs="Sylfaen"/>
          <w:szCs w:val="21"/>
          <w:shd w:val="clear" w:color="auto" w:fill="FFFFFF"/>
          <w:lang w:val="ka-GE"/>
        </w:rPr>
        <w:t>ლარი,</w:t>
      </w:r>
      <w:r w:rsidRPr="00071A4F">
        <w:rPr>
          <w:rFonts w:ascii="Sylfaen" w:hAnsi="Sylfaen" w:cs="Sylfaen"/>
          <w:szCs w:val="21"/>
          <w:shd w:val="clear" w:color="auto" w:fill="FFFFFF"/>
        </w:rPr>
        <w:t xml:space="preserve"> </w:t>
      </w:r>
      <w:r w:rsidRPr="00071A4F">
        <w:rPr>
          <w:rFonts w:ascii="Sylfaen" w:hAnsi="Sylfaen" w:cs="Sylfaen"/>
          <w:szCs w:val="21"/>
          <w:shd w:val="clear" w:color="auto" w:fill="FFFFFF"/>
          <w:lang w:val="ka-GE"/>
        </w:rPr>
        <w:t>მათ შორის -</w:t>
      </w:r>
      <w:r w:rsidRPr="00071A4F">
        <w:rPr>
          <w:rFonts w:ascii="Sylfaen" w:hAnsi="Sylfaen" w:cs="Sylfaen"/>
          <w:szCs w:val="21"/>
          <w:shd w:val="clear" w:color="auto" w:fill="FFFFFF"/>
        </w:rPr>
        <w:t xml:space="preserve"> </w:t>
      </w:r>
      <w:r w:rsidR="009F177E">
        <w:rPr>
          <w:rFonts w:ascii="Sylfaen" w:hAnsi="Sylfaen" w:cs="Sylfaen"/>
          <w:szCs w:val="21"/>
          <w:shd w:val="clear" w:color="auto" w:fill="FFFFFF"/>
        </w:rPr>
        <w:t>714</w:t>
      </w:r>
      <w:r w:rsidR="009F177E">
        <w:rPr>
          <w:rFonts w:ascii="Sylfaen" w:hAnsi="Sylfaen" w:cs="Sylfaen"/>
          <w:szCs w:val="21"/>
          <w:shd w:val="clear" w:color="auto" w:fill="FFFFFF"/>
          <w:lang w:val="ka-GE"/>
        </w:rPr>
        <w:t>,</w:t>
      </w:r>
      <w:r w:rsidR="009F177E">
        <w:rPr>
          <w:rFonts w:ascii="Sylfaen" w:hAnsi="Sylfaen" w:cs="Sylfaen"/>
          <w:szCs w:val="21"/>
          <w:shd w:val="clear" w:color="auto" w:fill="FFFFFF"/>
        </w:rPr>
        <w:t xml:space="preserve">884.7 </w:t>
      </w:r>
      <w:r w:rsidRPr="00071A4F">
        <w:rPr>
          <w:rFonts w:ascii="Sylfaen" w:hAnsi="Sylfaen" w:cs="Sylfaen"/>
          <w:szCs w:val="21"/>
          <w:shd w:val="clear" w:color="auto" w:fill="FFFFFF"/>
          <w:lang w:val="ka-GE"/>
        </w:rPr>
        <w:t>ათასი</w:t>
      </w:r>
      <w:r w:rsidRPr="00071A4F">
        <w:rPr>
          <w:rFonts w:ascii="Sylfaen" w:hAnsi="Sylfaen" w:cs="Sylfaen"/>
          <w:szCs w:val="21"/>
          <w:shd w:val="clear" w:color="auto" w:fill="FFFFFF"/>
        </w:rPr>
        <w:t xml:space="preserve"> </w:t>
      </w:r>
      <w:r w:rsidRPr="00071A4F">
        <w:rPr>
          <w:rFonts w:ascii="Sylfaen" w:hAnsi="Sylfaen" w:cs="Sylfaen"/>
          <w:szCs w:val="21"/>
          <w:shd w:val="clear" w:color="auto" w:fill="FFFFFF"/>
          <w:lang w:val="ka-GE"/>
        </w:rPr>
        <w:t>ლარი</w:t>
      </w:r>
      <w:r w:rsidRPr="00071A4F">
        <w:rPr>
          <w:rFonts w:ascii="Sylfaen" w:hAnsi="Sylfaen" w:cs="Sylfaen"/>
          <w:szCs w:val="21"/>
          <w:shd w:val="clear" w:color="auto" w:fill="FFFFFF"/>
        </w:rPr>
        <w:t xml:space="preserve"> </w:t>
      </w:r>
      <w:r w:rsidRPr="00071A4F">
        <w:rPr>
          <w:rFonts w:ascii="Sylfaen" w:hAnsi="Sylfaen" w:cs="Sylfaen"/>
          <w:szCs w:val="21"/>
          <w:shd w:val="clear" w:color="auto" w:fill="FFFFFF"/>
          <w:lang w:val="ka-GE"/>
        </w:rPr>
        <w:t>წარმოადგენს</w:t>
      </w:r>
      <w:r w:rsidRPr="00071A4F">
        <w:rPr>
          <w:rFonts w:ascii="Sylfaen" w:hAnsi="Sylfaen" w:cs="Sylfaen"/>
          <w:szCs w:val="21"/>
          <w:shd w:val="clear" w:color="auto" w:fill="FFFFFF"/>
        </w:rPr>
        <w:t xml:space="preserve"> </w:t>
      </w:r>
      <w:r w:rsidRPr="00071A4F">
        <w:rPr>
          <w:rFonts w:ascii="Sylfaen" w:hAnsi="Sylfaen" w:cs="Sylfaen"/>
          <w:szCs w:val="21"/>
          <w:shd w:val="clear" w:color="auto" w:fill="FFFFFF"/>
          <w:lang w:val="ka-GE"/>
        </w:rPr>
        <w:t>ძირითადი</w:t>
      </w:r>
      <w:r w:rsidRPr="00071A4F">
        <w:rPr>
          <w:rFonts w:ascii="Sylfaen" w:hAnsi="Sylfaen" w:cs="Sylfaen"/>
          <w:szCs w:val="21"/>
          <w:shd w:val="clear" w:color="auto" w:fill="FFFFFF"/>
        </w:rPr>
        <w:t xml:space="preserve"> </w:t>
      </w:r>
      <w:r w:rsidRPr="00071A4F">
        <w:rPr>
          <w:rFonts w:ascii="Sylfaen" w:hAnsi="Sylfaen" w:cs="Sylfaen"/>
          <w:szCs w:val="21"/>
          <w:shd w:val="clear" w:color="auto" w:fill="FFFFFF"/>
          <w:lang w:val="ka-GE"/>
        </w:rPr>
        <w:t>თანხის</w:t>
      </w:r>
      <w:r w:rsidRPr="00071A4F">
        <w:rPr>
          <w:rFonts w:ascii="Sylfaen" w:hAnsi="Sylfaen" w:cs="Sylfaen"/>
          <w:szCs w:val="21"/>
          <w:shd w:val="clear" w:color="auto" w:fill="FFFFFF"/>
        </w:rPr>
        <w:t xml:space="preserve"> </w:t>
      </w:r>
      <w:r w:rsidRPr="00071A4F">
        <w:rPr>
          <w:rFonts w:ascii="Sylfaen" w:hAnsi="Sylfaen" w:cs="Sylfaen"/>
          <w:szCs w:val="21"/>
          <w:shd w:val="clear" w:color="auto" w:fill="FFFFFF"/>
          <w:lang w:val="ka-GE"/>
        </w:rPr>
        <w:t>დაფარვას,</w:t>
      </w:r>
      <w:r w:rsidRPr="00071A4F">
        <w:rPr>
          <w:rFonts w:ascii="Sylfaen" w:hAnsi="Sylfaen" w:cs="Sylfaen"/>
          <w:szCs w:val="21"/>
          <w:shd w:val="clear" w:color="auto" w:fill="FFFFFF"/>
        </w:rPr>
        <w:t xml:space="preserve"> </w:t>
      </w:r>
      <w:r w:rsidRPr="00071A4F">
        <w:rPr>
          <w:rFonts w:ascii="Sylfaen" w:hAnsi="Sylfaen" w:cs="Sylfaen"/>
          <w:szCs w:val="21"/>
          <w:shd w:val="clear" w:color="auto" w:fill="FFFFFF"/>
          <w:lang w:val="ka-GE"/>
        </w:rPr>
        <w:t>ხოლო</w:t>
      </w:r>
      <w:r w:rsidRPr="00071A4F">
        <w:rPr>
          <w:rFonts w:ascii="Sylfaen" w:hAnsi="Sylfaen" w:cs="Sylfaen"/>
          <w:szCs w:val="21"/>
          <w:shd w:val="clear" w:color="auto" w:fill="FFFFFF"/>
        </w:rPr>
        <w:t xml:space="preserve"> </w:t>
      </w:r>
      <w:r w:rsidR="009F177E" w:rsidRPr="009F177E">
        <w:rPr>
          <w:rFonts w:ascii="Sylfaen" w:hAnsi="Sylfaen" w:cs="Sylfaen"/>
          <w:szCs w:val="21"/>
          <w:shd w:val="clear" w:color="auto" w:fill="FFFFFF"/>
        </w:rPr>
        <w:t>268</w:t>
      </w:r>
      <w:r w:rsidR="009F177E">
        <w:rPr>
          <w:rFonts w:ascii="Sylfaen" w:hAnsi="Sylfaen" w:cs="Sylfaen"/>
          <w:szCs w:val="21"/>
          <w:shd w:val="clear" w:color="auto" w:fill="FFFFFF"/>
          <w:lang w:val="ka-GE"/>
        </w:rPr>
        <w:t>,</w:t>
      </w:r>
      <w:r w:rsidR="009F177E" w:rsidRPr="009F177E">
        <w:rPr>
          <w:rFonts w:ascii="Sylfaen" w:hAnsi="Sylfaen" w:cs="Sylfaen"/>
          <w:szCs w:val="21"/>
          <w:shd w:val="clear" w:color="auto" w:fill="FFFFFF"/>
        </w:rPr>
        <w:t>671.5</w:t>
      </w:r>
      <w:r w:rsidR="009F177E">
        <w:rPr>
          <w:rFonts w:ascii="Sylfaen" w:hAnsi="Sylfaen" w:cs="Sylfaen"/>
          <w:szCs w:val="21"/>
          <w:shd w:val="clear" w:color="auto" w:fill="FFFFFF"/>
          <w:lang w:val="ka-GE"/>
        </w:rPr>
        <w:t xml:space="preserve"> </w:t>
      </w:r>
      <w:r w:rsidRPr="00071A4F">
        <w:rPr>
          <w:rFonts w:ascii="Sylfaen" w:hAnsi="Sylfaen" w:cs="Sylfaen"/>
          <w:szCs w:val="21"/>
          <w:shd w:val="clear" w:color="auto" w:fill="FFFFFF"/>
          <w:lang w:val="ka-GE"/>
        </w:rPr>
        <w:t>ათასი</w:t>
      </w:r>
      <w:r w:rsidRPr="00071A4F">
        <w:rPr>
          <w:rFonts w:ascii="Sylfaen" w:hAnsi="Sylfaen" w:cs="Sylfaen"/>
          <w:szCs w:val="21"/>
          <w:shd w:val="clear" w:color="auto" w:fill="FFFFFF"/>
        </w:rPr>
        <w:t xml:space="preserve"> </w:t>
      </w:r>
      <w:r w:rsidRPr="00071A4F">
        <w:rPr>
          <w:rFonts w:ascii="Sylfaen" w:hAnsi="Sylfaen" w:cs="Sylfaen"/>
          <w:szCs w:val="21"/>
          <w:shd w:val="clear" w:color="auto" w:fill="FFFFFF"/>
          <w:lang w:val="ka-GE"/>
        </w:rPr>
        <w:t>ლარი</w:t>
      </w:r>
      <w:r w:rsidRPr="00071A4F">
        <w:rPr>
          <w:rFonts w:ascii="Sylfaen" w:hAnsi="Sylfaen" w:cs="Sylfaen"/>
          <w:szCs w:val="21"/>
          <w:shd w:val="clear" w:color="auto" w:fill="FFFFFF"/>
        </w:rPr>
        <w:t xml:space="preserve"> </w:t>
      </w:r>
      <w:r w:rsidRPr="00071A4F">
        <w:rPr>
          <w:rFonts w:ascii="Sylfaen" w:hAnsi="Sylfaen" w:cs="Sylfaen"/>
          <w:szCs w:val="21"/>
          <w:shd w:val="clear" w:color="auto" w:fill="FFFFFF"/>
          <w:lang w:val="ka-GE"/>
        </w:rPr>
        <w:t>პროცენტის</w:t>
      </w:r>
      <w:r w:rsidRPr="00071A4F">
        <w:rPr>
          <w:rFonts w:ascii="Sylfaen" w:hAnsi="Sylfaen" w:cs="Sylfaen"/>
          <w:szCs w:val="21"/>
          <w:shd w:val="clear" w:color="auto" w:fill="FFFFFF"/>
        </w:rPr>
        <w:t xml:space="preserve"> </w:t>
      </w:r>
      <w:r w:rsidRPr="00071A4F">
        <w:rPr>
          <w:rFonts w:ascii="Sylfaen" w:hAnsi="Sylfaen" w:cs="Sylfaen"/>
          <w:szCs w:val="21"/>
          <w:shd w:val="clear" w:color="auto" w:fill="FFFFFF"/>
          <w:lang w:val="ka-GE"/>
        </w:rPr>
        <w:t>თანხას.</w:t>
      </w:r>
    </w:p>
    <w:p w:rsidR="00065901" w:rsidRDefault="00FE7942" w:rsidP="00C3279B">
      <w:pPr>
        <w:jc w:val="center"/>
        <w:rPr>
          <w:rFonts w:ascii="Sylfaen" w:hAnsi="Sylfaen" w:cs="Sylfaen"/>
          <w:b/>
          <w:szCs w:val="18"/>
          <w:shd w:val="clear" w:color="auto" w:fill="FFFFFF"/>
          <w:lang w:val="ka-GE"/>
        </w:rPr>
      </w:pPr>
      <w:r w:rsidRPr="00425B8C">
        <w:rPr>
          <w:rFonts w:ascii="Sylfaen" w:hAnsi="Sylfaen" w:cs="Sylfaen"/>
          <w:b/>
          <w:szCs w:val="18"/>
          <w:shd w:val="clear" w:color="auto" w:fill="FFFFFF"/>
          <w:lang w:val="ka-GE"/>
        </w:rPr>
        <w:t>სახელმწიფო საგარეო ვალდებულებების მომსახურება და დაფარვა</w:t>
      </w:r>
    </w:p>
    <w:p w:rsidR="004816BC" w:rsidRDefault="000F5720" w:rsidP="00D62E87">
      <w:pPr>
        <w:tabs>
          <w:tab w:val="left" w:pos="720"/>
        </w:tabs>
        <w:spacing w:after="120" w:line="240" w:lineRule="auto"/>
        <w:jc w:val="center"/>
        <w:rPr>
          <w:rFonts w:ascii="Sylfaen" w:hAnsi="Sylfaen"/>
          <w:b/>
          <w:lang w:val="ka-GE"/>
        </w:rPr>
      </w:pPr>
      <w:r w:rsidRPr="00504D30">
        <w:rPr>
          <w:rFonts w:ascii="Sylfaen" w:hAnsi="Sylfaen"/>
          <w:b/>
          <w:lang w:val="ka-GE"/>
        </w:rPr>
        <w:t xml:space="preserve">2018 წლის </w:t>
      </w:r>
      <w:r w:rsidR="009F177E">
        <w:rPr>
          <w:rFonts w:ascii="Sylfaen" w:hAnsi="Sylfaen"/>
          <w:b/>
          <w:lang w:val="ka-GE"/>
        </w:rPr>
        <w:t>31</w:t>
      </w:r>
      <w:r w:rsidRPr="00504D30">
        <w:rPr>
          <w:rFonts w:ascii="Sylfaen" w:hAnsi="Sylfaen"/>
          <w:b/>
          <w:lang w:val="ka-GE"/>
        </w:rPr>
        <w:t xml:space="preserve"> </w:t>
      </w:r>
      <w:r w:rsidR="009F177E">
        <w:rPr>
          <w:rFonts w:ascii="Sylfaen" w:hAnsi="Sylfaen"/>
          <w:b/>
          <w:lang w:val="ka-GE"/>
        </w:rPr>
        <w:t>დეკემბრის</w:t>
      </w:r>
      <w:r w:rsidR="00FD691A">
        <w:rPr>
          <w:rFonts w:ascii="Sylfaen" w:hAnsi="Sylfaen"/>
          <w:b/>
          <w:lang w:val="ka-GE"/>
        </w:rPr>
        <w:t xml:space="preserve"> მდგომარეობით</w:t>
      </w:r>
    </w:p>
    <w:tbl>
      <w:tblPr>
        <w:tblW w:w="8335" w:type="dxa"/>
        <w:jc w:val="center"/>
        <w:tblLook w:val="04A0" w:firstRow="1" w:lastRow="0" w:firstColumn="1" w:lastColumn="0" w:noHBand="0" w:noVBand="1"/>
      </w:tblPr>
      <w:tblGrid>
        <w:gridCol w:w="3314"/>
        <w:gridCol w:w="1690"/>
        <w:gridCol w:w="1690"/>
        <w:gridCol w:w="1641"/>
      </w:tblGrid>
      <w:tr w:rsidR="00A8306F" w:rsidRPr="00A8306F" w:rsidTr="003B775B">
        <w:trPr>
          <w:trHeight w:val="309"/>
          <w:jc w:val="center"/>
        </w:trPr>
        <w:tc>
          <w:tcPr>
            <w:tcW w:w="3314" w:type="dxa"/>
            <w:tcBorders>
              <w:top w:val="nil"/>
              <w:left w:val="nil"/>
              <w:bottom w:val="single" w:sz="4" w:space="0" w:color="auto"/>
              <w:right w:val="nil"/>
            </w:tcBorders>
            <w:shd w:val="clear" w:color="000000" w:fill="FFFFFF"/>
            <w:noWrap/>
            <w:vAlign w:val="center"/>
            <w:hideMark/>
          </w:tcPr>
          <w:p w:rsidR="00A8306F" w:rsidRPr="00A8306F" w:rsidRDefault="00A8306F" w:rsidP="00A8306F">
            <w:pPr>
              <w:spacing w:after="0" w:line="240" w:lineRule="auto"/>
              <w:rPr>
                <w:rFonts w:ascii="Calibri" w:eastAsia="Times New Roman" w:hAnsi="Calibri" w:cs="Calibri"/>
                <w:color w:val="000000" w:themeColor="text1"/>
                <w:sz w:val="16"/>
                <w:szCs w:val="16"/>
              </w:rPr>
            </w:pPr>
            <w:r w:rsidRPr="00A8306F">
              <w:rPr>
                <w:rFonts w:ascii="Calibri" w:eastAsia="Times New Roman" w:hAnsi="Calibri" w:cs="Calibri"/>
                <w:color w:val="000000" w:themeColor="text1"/>
                <w:sz w:val="16"/>
                <w:szCs w:val="16"/>
              </w:rPr>
              <w:t> </w:t>
            </w:r>
          </w:p>
        </w:tc>
        <w:tc>
          <w:tcPr>
            <w:tcW w:w="1690" w:type="dxa"/>
            <w:tcBorders>
              <w:top w:val="nil"/>
              <w:left w:val="nil"/>
              <w:bottom w:val="single" w:sz="4" w:space="0" w:color="auto"/>
              <w:right w:val="nil"/>
            </w:tcBorders>
            <w:shd w:val="clear" w:color="000000" w:fill="FFFFFF"/>
            <w:noWrap/>
            <w:vAlign w:val="bottom"/>
            <w:hideMark/>
          </w:tcPr>
          <w:p w:rsidR="00A8306F" w:rsidRPr="00A8306F" w:rsidRDefault="00A8306F" w:rsidP="00A8306F">
            <w:pPr>
              <w:spacing w:after="0" w:line="240" w:lineRule="auto"/>
              <w:jc w:val="center"/>
              <w:rPr>
                <w:rFonts w:ascii="Calibri" w:eastAsia="Times New Roman" w:hAnsi="Calibri" w:cs="Calibri"/>
                <w:color w:val="000000" w:themeColor="text1"/>
                <w:sz w:val="16"/>
                <w:szCs w:val="16"/>
              </w:rPr>
            </w:pPr>
          </w:p>
        </w:tc>
        <w:tc>
          <w:tcPr>
            <w:tcW w:w="1690" w:type="dxa"/>
            <w:tcBorders>
              <w:top w:val="nil"/>
              <w:left w:val="nil"/>
              <w:bottom w:val="single" w:sz="4" w:space="0" w:color="auto"/>
              <w:right w:val="nil"/>
            </w:tcBorders>
            <w:shd w:val="clear" w:color="000000" w:fill="FFFFFF"/>
            <w:noWrap/>
            <w:vAlign w:val="bottom"/>
            <w:hideMark/>
          </w:tcPr>
          <w:p w:rsidR="00A8306F" w:rsidRPr="00A8306F" w:rsidRDefault="00A8306F" w:rsidP="00A8306F">
            <w:pPr>
              <w:spacing w:after="0" w:line="240" w:lineRule="auto"/>
              <w:jc w:val="center"/>
              <w:rPr>
                <w:rFonts w:ascii="Calibri" w:eastAsia="Times New Roman" w:hAnsi="Calibri" w:cs="Calibri"/>
                <w:b/>
                <w:bCs/>
                <w:color w:val="000000" w:themeColor="text1"/>
                <w:sz w:val="16"/>
                <w:szCs w:val="16"/>
              </w:rPr>
            </w:pPr>
          </w:p>
        </w:tc>
        <w:tc>
          <w:tcPr>
            <w:tcW w:w="1641" w:type="dxa"/>
            <w:tcBorders>
              <w:top w:val="nil"/>
              <w:left w:val="nil"/>
              <w:bottom w:val="single" w:sz="4" w:space="0" w:color="auto"/>
              <w:right w:val="nil"/>
            </w:tcBorders>
            <w:shd w:val="clear" w:color="000000" w:fill="FFFFFF"/>
            <w:noWrap/>
            <w:vAlign w:val="bottom"/>
            <w:hideMark/>
          </w:tcPr>
          <w:p w:rsidR="00A8306F" w:rsidRPr="00A8306F" w:rsidRDefault="006A7FCD" w:rsidP="00A8306F">
            <w:pPr>
              <w:spacing w:after="0" w:line="240" w:lineRule="auto"/>
              <w:jc w:val="center"/>
              <w:rPr>
                <w:rFonts w:ascii="Calibri" w:eastAsia="Times New Roman" w:hAnsi="Calibri" w:cs="Calibri"/>
                <w:b/>
                <w:bCs/>
                <w:color w:val="000000" w:themeColor="text1"/>
                <w:sz w:val="16"/>
                <w:szCs w:val="16"/>
              </w:rPr>
            </w:pPr>
            <w:r>
              <w:rPr>
                <w:rFonts w:ascii="Sylfaen" w:eastAsia="Times New Roman" w:hAnsi="Sylfaen" w:cs="Sylfaen"/>
                <w:b/>
                <w:bCs/>
                <w:color w:val="000000" w:themeColor="text1"/>
                <w:sz w:val="16"/>
                <w:szCs w:val="16"/>
                <w:lang w:val="ka-GE"/>
              </w:rPr>
              <w:t xml:space="preserve">ათასი </w:t>
            </w:r>
            <w:r w:rsidR="00A8306F" w:rsidRPr="00A8306F">
              <w:rPr>
                <w:rFonts w:ascii="Sylfaen" w:eastAsia="Times New Roman" w:hAnsi="Sylfaen" w:cs="Sylfaen"/>
                <w:b/>
                <w:bCs/>
                <w:color w:val="000000" w:themeColor="text1"/>
                <w:sz w:val="16"/>
                <w:szCs w:val="16"/>
              </w:rPr>
              <w:t>ლარი</w:t>
            </w:r>
          </w:p>
        </w:tc>
      </w:tr>
      <w:tr w:rsidR="00A8306F" w:rsidRPr="00A8306F" w:rsidTr="003B775B">
        <w:trPr>
          <w:trHeight w:val="528"/>
          <w:jc w:val="center"/>
        </w:trPr>
        <w:tc>
          <w:tcPr>
            <w:tcW w:w="3314" w:type="dxa"/>
            <w:tcBorders>
              <w:top w:val="single" w:sz="4" w:space="0" w:color="auto"/>
              <w:left w:val="single" w:sz="4" w:space="0" w:color="auto"/>
              <w:bottom w:val="single" w:sz="4" w:space="0" w:color="A6A6A6" w:themeColor="background1" w:themeShade="A6"/>
              <w:right w:val="nil"/>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
                <w:bCs/>
                <w:color w:val="000000" w:themeColor="text1"/>
                <w:sz w:val="16"/>
                <w:szCs w:val="16"/>
              </w:rPr>
            </w:pPr>
            <w:r w:rsidRPr="00A8306F">
              <w:rPr>
                <w:rFonts w:ascii="Sylfaen" w:eastAsia="Times New Roman" w:hAnsi="Sylfaen" w:cs="Sylfaen"/>
                <w:b/>
                <w:bCs/>
                <w:color w:val="000000" w:themeColor="text1"/>
                <w:sz w:val="16"/>
                <w:szCs w:val="16"/>
              </w:rPr>
              <w:t>კრედიტორები</w:t>
            </w:r>
          </w:p>
        </w:tc>
        <w:tc>
          <w:tcPr>
            <w:tcW w:w="1690" w:type="dxa"/>
            <w:tcBorders>
              <w:top w:val="single" w:sz="4" w:space="0" w:color="auto"/>
              <w:left w:val="nil"/>
              <w:bottom w:val="single" w:sz="4" w:space="0" w:color="A6A6A6" w:themeColor="background1" w:themeShade="A6"/>
              <w:right w:val="nil"/>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
                <w:bCs/>
                <w:color w:val="000000" w:themeColor="text1"/>
                <w:sz w:val="16"/>
                <w:szCs w:val="16"/>
              </w:rPr>
            </w:pPr>
            <w:r w:rsidRPr="00A8306F">
              <w:rPr>
                <w:rFonts w:ascii="Sylfaen" w:eastAsia="Times New Roman" w:hAnsi="Sylfaen" w:cs="Sylfaen"/>
                <w:b/>
                <w:bCs/>
                <w:color w:val="000000" w:themeColor="text1"/>
                <w:sz w:val="16"/>
                <w:szCs w:val="16"/>
              </w:rPr>
              <w:t>ვალების</w:t>
            </w:r>
            <w:r w:rsidRPr="00A8306F">
              <w:rPr>
                <w:rFonts w:ascii="Calibri" w:eastAsia="Times New Roman" w:hAnsi="Calibri" w:cs="Calibri"/>
                <w:b/>
                <w:bCs/>
                <w:color w:val="000000" w:themeColor="text1"/>
                <w:sz w:val="16"/>
                <w:szCs w:val="16"/>
              </w:rPr>
              <w:t xml:space="preserve"> </w:t>
            </w:r>
            <w:r w:rsidRPr="00A8306F">
              <w:rPr>
                <w:rFonts w:ascii="Sylfaen" w:eastAsia="Times New Roman" w:hAnsi="Sylfaen" w:cs="Sylfaen"/>
                <w:b/>
                <w:bCs/>
                <w:color w:val="000000" w:themeColor="text1"/>
                <w:sz w:val="16"/>
                <w:szCs w:val="16"/>
              </w:rPr>
              <w:t>დაფარვა</w:t>
            </w:r>
          </w:p>
        </w:tc>
        <w:tc>
          <w:tcPr>
            <w:tcW w:w="1690" w:type="dxa"/>
            <w:tcBorders>
              <w:top w:val="single" w:sz="4" w:space="0" w:color="auto"/>
              <w:left w:val="nil"/>
              <w:bottom w:val="single" w:sz="4" w:space="0" w:color="A6A6A6" w:themeColor="background1" w:themeShade="A6"/>
              <w:right w:val="nil"/>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
                <w:bCs/>
                <w:color w:val="000000" w:themeColor="text1"/>
                <w:sz w:val="16"/>
                <w:szCs w:val="16"/>
              </w:rPr>
            </w:pPr>
            <w:r w:rsidRPr="00A8306F">
              <w:rPr>
                <w:rFonts w:ascii="Sylfaen" w:eastAsia="Times New Roman" w:hAnsi="Sylfaen" w:cs="Sylfaen"/>
                <w:b/>
                <w:bCs/>
                <w:color w:val="000000" w:themeColor="text1"/>
                <w:sz w:val="16"/>
                <w:szCs w:val="16"/>
              </w:rPr>
              <w:t>პროცენტი</w:t>
            </w:r>
          </w:p>
        </w:tc>
        <w:tc>
          <w:tcPr>
            <w:tcW w:w="1641" w:type="dxa"/>
            <w:tcBorders>
              <w:top w:val="single" w:sz="4" w:space="0" w:color="auto"/>
              <w:left w:val="nil"/>
              <w:bottom w:val="single" w:sz="4" w:space="0" w:color="A6A6A6" w:themeColor="background1" w:themeShade="A6"/>
              <w:right w:val="single" w:sz="4" w:space="0" w:color="auto"/>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
                <w:bCs/>
                <w:color w:val="000000" w:themeColor="text1"/>
                <w:sz w:val="16"/>
                <w:szCs w:val="16"/>
              </w:rPr>
            </w:pPr>
            <w:r w:rsidRPr="00A8306F">
              <w:rPr>
                <w:rFonts w:ascii="Sylfaen" w:eastAsia="Times New Roman" w:hAnsi="Sylfaen" w:cs="Sylfaen"/>
                <w:b/>
                <w:bCs/>
                <w:color w:val="000000" w:themeColor="text1"/>
                <w:sz w:val="16"/>
                <w:szCs w:val="16"/>
              </w:rPr>
              <w:t>სულ</w:t>
            </w:r>
            <w:r w:rsidRPr="00A8306F">
              <w:rPr>
                <w:rFonts w:ascii="Calibri" w:eastAsia="Times New Roman" w:hAnsi="Calibri" w:cs="Calibri"/>
                <w:b/>
                <w:bCs/>
                <w:color w:val="000000" w:themeColor="text1"/>
                <w:sz w:val="16"/>
                <w:szCs w:val="16"/>
              </w:rPr>
              <w:t xml:space="preserve"> 2018</w:t>
            </w:r>
          </w:p>
        </w:tc>
      </w:tr>
      <w:tr w:rsidR="00A8306F" w:rsidRPr="00A8306F" w:rsidTr="003B775B">
        <w:trPr>
          <w:trHeight w:val="257"/>
          <w:jc w:val="center"/>
        </w:trPr>
        <w:tc>
          <w:tcPr>
            <w:tcW w:w="3314" w:type="dxa"/>
            <w:tcBorders>
              <w:top w:val="single" w:sz="4" w:space="0" w:color="A6A6A6" w:themeColor="background1" w:themeShade="A6"/>
              <w:left w:val="single" w:sz="4" w:space="0" w:color="auto"/>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
                <w:color w:val="000000" w:themeColor="text1"/>
                <w:sz w:val="16"/>
                <w:szCs w:val="16"/>
              </w:rPr>
            </w:pPr>
            <w:r w:rsidRPr="00A8306F">
              <w:rPr>
                <w:rFonts w:ascii="Calibri" w:eastAsia="Times New Roman" w:hAnsi="Calibri" w:cs="Calibri"/>
                <w:b/>
                <w:color w:val="000000" w:themeColor="text1"/>
                <w:sz w:val="16"/>
                <w:szCs w:val="16"/>
              </w:rPr>
              <w:t> </w:t>
            </w:r>
          </w:p>
        </w:tc>
        <w:tc>
          <w:tcPr>
            <w:tcW w:w="1690" w:type="dxa"/>
            <w:tcBorders>
              <w:top w:val="single" w:sz="4" w:space="0" w:color="A6A6A6" w:themeColor="background1" w:themeShade="A6"/>
              <w:left w:val="nil"/>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
                <w:bCs/>
                <w:i/>
                <w:iCs/>
                <w:color w:val="000000" w:themeColor="text1"/>
                <w:sz w:val="16"/>
                <w:szCs w:val="16"/>
              </w:rPr>
            </w:pPr>
            <w:r w:rsidRPr="00A8306F">
              <w:rPr>
                <w:rFonts w:ascii="Calibri" w:eastAsia="Times New Roman" w:hAnsi="Calibri" w:cs="Calibri"/>
                <w:b/>
                <w:bCs/>
                <w:i/>
                <w:iCs/>
                <w:color w:val="000000" w:themeColor="text1"/>
                <w:sz w:val="16"/>
                <w:szCs w:val="16"/>
              </w:rPr>
              <w:t>714,884.7</w:t>
            </w:r>
          </w:p>
        </w:tc>
        <w:tc>
          <w:tcPr>
            <w:tcW w:w="1690" w:type="dxa"/>
            <w:tcBorders>
              <w:top w:val="single" w:sz="4" w:space="0" w:color="A6A6A6" w:themeColor="background1" w:themeShade="A6"/>
              <w:left w:val="nil"/>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
                <w:bCs/>
                <w:i/>
                <w:iCs/>
                <w:color w:val="000000" w:themeColor="text1"/>
                <w:sz w:val="16"/>
                <w:szCs w:val="16"/>
              </w:rPr>
            </w:pPr>
            <w:r w:rsidRPr="00A8306F">
              <w:rPr>
                <w:rFonts w:ascii="Calibri" w:eastAsia="Times New Roman" w:hAnsi="Calibri" w:cs="Calibri"/>
                <w:b/>
                <w:bCs/>
                <w:i/>
                <w:iCs/>
                <w:color w:val="000000" w:themeColor="text1"/>
                <w:sz w:val="16"/>
                <w:szCs w:val="16"/>
              </w:rPr>
              <w:t>268,671.5</w:t>
            </w:r>
          </w:p>
        </w:tc>
        <w:tc>
          <w:tcPr>
            <w:tcW w:w="1641" w:type="dxa"/>
            <w:tcBorders>
              <w:top w:val="single" w:sz="4" w:space="0" w:color="A6A6A6" w:themeColor="background1" w:themeShade="A6"/>
              <w:left w:val="nil"/>
              <w:bottom w:val="single" w:sz="4" w:space="0" w:color="D9D9D9"/>
              <w:right w:val="single" w:sz="4" w:space="0" w:color="auto"/>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
                <w:bCs/>
                <w:i/>
                <w:iCs/>
                <w:color w:val="000000" w:themeColor="text1"/>
                <w:sz w:val="16"/>
                <w:szCs w:val="16"/>
              </w:rPr>
            </w:pPr>
            <w:r w:rsidRPr="00A8306F">
              <w:rPr>
                <w:rFonts w:ascii="Calibri" w:eastAsia="Times New Roman" w:hAnsi="Calibri" w:cs="Calibri"/>
                <w:b/>
                <w:bCs/>
                <w:i/>
                <w:iCs/>
                <w:color w:val="000000" w:themeColor="text1"/>
                <w:sz w:val="16"/>
                <w:szCs w:val="16"/>
              </w:rPr>
              <w:t>983,556.2</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Sylfaen" w:eastAsia="Times New Roman" w:hAnsi="Sylfaen" w:cs="Sylfaen"/>
                <w:bCs/>
                <w:i/>
                <w:iCs/>
                <w:color w:val="000000" w:themeColor="text1"/>
                <w:sz w:val="16"/>
                <w:szCs w:val="16"/>
              </w:rPr>
              <w:t>ავსტრია</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449.7</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449.7</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Sylfaen" w:eastAsia="Times New Roman" w:hAnsi="Sylfaen" w:cs="Sylfaen"/>
                <w:bCs/>
                <w:i/>
                <w:iCs/>
                <w:color w:val="000000" w:themeColor="text1"/>
                <w:sz w:val="16"/>
                <w:szCs w:val="16"/>
              </w:rPr>
              <w:t>კუვეიტი</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4,839.3</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893.6</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5,732.9</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Sylfaen" w:eastAsia="Times New Roman" w:hAnsi="Sylfaen" w:cs="Sylfaen"/>
                <w:bCs/>
                <w:i/>
                <w:iCs/>
                <w:color w:val="000000" w:themeColor="text1"/>
                <w:sz w:val="16"/>
                <w:szCs w:val="16"/>
              </w:rPr>
              <w:t>იაპონია</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6,427.9</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4,541.5</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10,969.4</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Sylfaen" w:eastAsia="Times New Roman" w:hAnsi="Sylfaen" w:cs="Sylfaen"/>
                <w:bCs/>
                <w:i/>
                <w:iCs/>
                <w:color w:val="000000" w:themeColor="text1"/>
                <w:sz w:val="16"/>
                <w:szCs w:val="16"/>
              </w:rPr>
              <w:t>გერმანია</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57,593.4</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20,997.5</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78,590.9</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Sylfaen" w:eastAsia="Times New Roman" w:hAnsi="Sylfaen" w:cs="Sylfaen"/>
                <w:bCs/>
                <w:i/>
                <w:iCs/>
                <w:color w:val="000000" w:themeColor="text1"/>
                <w:sz w:val="16"/>
                <w:szCs w:val="16"/>
              </w:rPr>
              <w:t>აშშ</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6,242.8</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1,325.3</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7,568.1</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Sylfaen" w:eastAsia="Times New Roman" w:hAnsi="Sylfaen" w:cs="Sylfaen"/>
                <w:bCs/>
                <w:i/>
                <w:iCs/>
                <w:color w:val="000000" w:themeColor="text1"/>
                <w:sz w:val="16"/>
                <w:szCs w:val="16"/>
              </w:rPr>
              <w:t>სომხეთი</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3,524.6</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747.1</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4,271.7</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Sylfaen" w:eastAsia="Times New Roman" w:hAnsi="Sylfaen" w:cs="Sylfaen"/>
                <w:bCs/>
                <w:i/>
                <w:iCs/>
                <w:color w:val="000000" w:themeColor="text1"/>
                <w:sz w:val="16"/>
                <w:szCs w:val="16"/>
              </w:rPr>
              <w:t>აზერბაიჯანი</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2,629.4</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652.7</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3,282.1</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Sylfaen" w:eastAsia="Times New Roman" w:hAnsi="Sylfaen" w:cs="Sylfaen"/>
                <w:bCs/>
                <w:i/>
                <w:iCs/>
                <w:color w:val="000000" w:themeColor="text1"/>
                <w:sz w:val="16"/>
                <w:szCs w:val="16"/>
              </w:rPr>
              <w:t>ირანი</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2,122.3</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503.4</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2,625.8</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Sylfaen" w:eastAsia="Times New Roman" w:hAnsi="Sylfaen" w:cs="Sylfaen"/>
                <w:bCs/>
                <w:i/>
                <w:iCs/>
                <w:color w:val="000000" w:themeColor="text1"/>
                <w:sz w:val="16"/>
                <w:szCs w:val="16"/>
              </w:rPr>
              <w:t>ყაზახეთი</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10,578.2</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6,338.2</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16,916.3</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Sylfaen" w:eastAsia="Times New Roman" w:hAnsi="Sylfaen" w:cs="Sylfaen"/>
                <w:bCs/>
                <w:i/>
                <w:iCs/>
                <w:color w:val="000000" w:themeColor="text1"/>
                <w:sz w:val="16"/>
                <w:szCs w:val="16"/>
              </w:rPr>
              <w:t>ნიდერლანდები</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509.7</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124.4</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634.1</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Sylfaen" w:eastAsia="Times New Roman" w:hAnsi="Sylfaen" w:cs="Sylfaen"/>
                <w:bCs/>
                <w:i/>
                <w:iCs/>
                <w:color w:val="000000" w:themeColor="text1"/>
                <w:sz w:val="16"/>
                <w:szCs w:val="16"/>
              </w:rPr>
              <w:t>რუსეთი</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23,461.5</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7,022.8</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30,484.3</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Sylfaen" w:eastAsia="Times New Roman" w:hAnsi="Sylfaen" w:cs="Sylfaen"/>
                <w:bCs/>
                <w:i/>
                <w:iCs/>
                <w:color w:val="000000" w:themeColor="text1"/>
                <w:sz w:val="16"/>
                <w:szCs w:val="16"/>
              </w:rPr>
              <w:t>თურქეთი</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4,978.4</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1,359.6</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6,338.0</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Sylfaen" w:eastAsia="Times New Roman" w:hAnsi="Sylfaen" w:cs="Sylfaen"/>
                <w:bCs/>
                <w:i/>
                <w:iCs/>
                <w:color w:val="000000" w:themeColor="text1"/>
                <w:sz w:val="16"/>
                <w:szCs w:val="16"/>
              </w:rPr>
              <w:t>უკრაინა</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88.6</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11.8</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100.4</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Sylfaen" w:eastAsia="Times New Roman" w:hAnsi="Sylfaen" w:cs="Sylfaen"/>
                <w:bCs/>
                <w:i/>
                <w:iCs/>
                <w:color w:val="000000" w:themeColor="text1"/>
                <w:sz w:val="16"/>
                <w:szCs w:val="16"/>
              </w:rPr>
              <w:t>უზბეკეთი</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97.0</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13.0</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109.9</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Sylfaen" w:eastAsia="Times New Roman" w:hAnsi="Sylfaen" w:cs="Sylfaen"/>
                <w:bCs/>
                <w:i/>
                <w:iCs/>
                <w:color w:val="000000" w:themeColor="text1"/>
                <w:sz w:val="16"/>
                <w:szCs w:val="16"/>
              </w:rPr>
              <w:t>საფრანგეთი</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60,500.1</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5,310.3</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65,810.4</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Sylfaen" w:eastAsia="Times New Roman" w:hAnsi="Sylfaen" w:cs="Sylfaen"/>
                <w:bCs/>
                <w:i/>
                <w:iCs/>
                <w:color w:val="000000" w:themeColor="text1"/>
                <w:sz w:val="16"/>
                <w:szCs w:val="16"/>
              </w:rPr>
              <w:t>ჩინეთი</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1,131.4</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1,131.4</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 xml:space="preserve">IDA </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200,109.7</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31,256.8</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231,366.6</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IBRD</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34,989.2</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51,377.2</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86,366.4</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IFAD</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2,864.9</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732.2</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3,597.1</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EBRD</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27,277.5</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3,501.7</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30,779.1</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EIB</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22,022.6</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5,862.6</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27,885.2</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ADB</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99,165.7</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34,618.7</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133,784.4</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IMF</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143,730.5</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4,330.1</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148,060.6</w:t>
            </w:r>
          </w:p>
        </w:tc>
      </w:tr>
      <w:tr w:rsidR="00A8306F" w:rsidRPr="00A8306F" w:rsidTr="003B775B">
        <w:trPr>
          <w:trHeight w:val="257"/>
          <w:jc w:val="center"/>
        </w:trPr>
        <w:tc>
          <w:tcPr>
            <w:tcW w:w="3314" w:type="dxa"/>
            <w:tcBorders>
              <w:top w:val="nil"/>
              <w:left w:val="single" w:sz="4" w:space="0" w:color="auto"/>
              <w:bottom w:val="single" w:sz="4" w:space="0" w:color="D9D9D9"/>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EU</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w:t>
            </w:r>
          </w:p>
        </w:tc>
        <w:tc>
          <w:tcPr>
            <w:tcW w:w="1690" w:type="dxa"/>
            <w:tcBorders>
              <w:top w:val="nil"/>
              <w:left w:val="nil"/>
              <w:bottom w:val="single" w:sz="4" w:space="0" w:color="D9D9D9"/>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598.9</w:t>
            </w:r>
          </w:p>
        </w:tc>
        <w:tc>
          <w:tcPr>
            <w:tcW w:w="1641" w:type="dxa"/>
            <w:tcBorders>
              <w:top w:val="nil"/>
              <w:left w:val="nil"/>
              <w:bottom w:val="single" w:sz="4" w:space="0" w:color="D9D9D9"/>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598.9</w:t>
            </w:r>
          </w:p>
        </w:tc>
      </w:tr>
      <w:tr w:rsidR="00A8306F" w:rsidRPr="00A8306F" w:rsidTr="003B775B">
        <w:trPr>
          <w:trHeight w:val="270"/>
          <w:jc w:val="center"/>
        </w:trPr>
        <w:tc>
          <w:tcPr>
            <w:tcW w:w="3314" w:type="dxa"/>
            <w:tcBorders>
              <w:top w:val="nil"/>
              <w:left w:val="single" w:sz="4" w:space="0" w:color="auto"/>
              <w:bottom w:val="single" w:sz="4" w:space="0" w:color="auto"/>
              <w:right w:val="single" w:sz="4" w:space="0" w:color="D9D9D9"/>
            </w:tcBorders>
            <w:shd w:val="clear" w:color="000000" w:fill="FFFFFF"/>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Sylfaen" w:eastAsia="Times New Roman" w:hAnsi="Sylfaen" w:cs="Sylfaen"/>
                <w:bCs/>
                <w:i/>
                <w:iCs/>
                <w:color w:val="000000" w:themeColor="text1"/>
                <w:sz w:val="16"/>
                <w:szCs w:val="16"/>
              </w:rPr>
              <w:t>ევრობონდები</w:t>
            </w:r>
          </w:p>
        </w:tc>
        <w:tc>
          <w:tcPr>
            <w:tcW w:w="1690" w:type="dxa"/>
            <w:tcBorders>
              <w:top w:val="nil"/>
              <w:left w:val="nil"/>
              <w:bottom w:val="single" w:sz="4" w:space="0" w:color="auto"/>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w:t>
            </w:r>
          </w:p>
        </w:tc>
        <w:tc>
          <w:tcPr>
            <w:tcW w:w="1690" w:type="dxa"/>
            <w:tcBorders>
              <w:top w:val="nil"/>
              <w:left w:val="nil"/>
              <w:bottom w:val="single" w:sz="4" w:space="0" w:color="auto"/>
              <w:right w:val="single" w:sz="4" w:space="0" w:color="D9D9D9"/>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86,102.5</w:t>
            </w:r>
          </w:p>
        </w:tc>
        <w:tc>
          <w:tcPr>
            <w:tcW w:w="1641" w:type="dxa"/>
            <w:tcBorders>
              <w:top w:val="nil"/>
              <w:left w:val="nil"/>
              <w:bottom w:val="single" w:sz="4" w:space="0" w:color="auto"/>
              <w:right w:val="single" w:sz="4" w:space="0" w:color="auto"/>
            </w:tcBorders>
            <w:shd w:val="clear" w:color="000000" w:fill="FFFFFF"/>
            <w:noWrap/>
            <w:vAlign w:val="center"/>
            <w:hideMark/>
          </w:tcPr>
          <w:p w:rsidR="00A8306F" w:rsidRPr="00A8306F" w:rsidRDefault="00A8306F" w:rsidP="00A8306F">
            <w:pPr>
              <w:spacing w:after="0" w:line="240" w:lineRule="auto"/>
              <w:jc w:val="center"/>
              <w:rPr>
                <w:rFonts w:ascii="Calibri" w:eastAsia="Times New Roman" w:hAnsi="Calibri" w:cs="Calibri"/>
                <w:bCs/>
                <w:i/>
                <w:iCs/>
                <w:color w:val="000000" w:themeColor="text1"/>
                <w:sz w:val="16"/>
                <w:szCs w:val="16"/>
              </w:rPr>
            </w:pPr>
            <w:r w:rsidRPr="00A8306F">
              <w:rPr>
                <w:rFonts w:ascii="Calibri" w:eastAsia="Times New Roman" w:hAnsi="Calibri" w:cs="Calibri"/>
                <w:bCs/>
                <w:i/>
                <w:iCs/>
                <w:color w:val="000000" w:themeColor="text1"/>
                <w:sz w:val="16"/>
                <w:szCs w:val="16"/>
              </w:rPr>
              <w:t>86,102.5</w:t>
            </w:r>
          </w:p>
        </w:tc>
      </w:tr>
    </w:tbl>
    <w:p w:rsidR="009E33C4" w:rsidRPr="00B57E95" w:rsidRDefault="00B57E95" w:rsidP="00B57E95">
      <w:pPr>
        <w:tabs>
          <w:tab w:val="left" w:pos="720"/>
        </w:tabs>
        <w:spacing w:after="120" w:line="240" w:lineRule="auto"/>
        <w:jc w:val="center"/>
        <w:rPr>
          <w:rFonts w:ascii="Sylfaen" w:hAnsi="Sylfaen"/>
          <w:b/>
          <w:i/>
          <w:sz w:val="16"/>
          <w:szCs w:val="16"/>
          <w:lang w:val="ka-GE"/>
        </w:rPr>
      </w:pPr>
      <w:r>
        <w:rPr>
          <w:rFonts w:ascii="Sylfaen" w:hAnsi="Sylfaen"/>
          <w:b/>
          <w:sz w:val="12"/>
          <w:szCs w:val="12"/>
          <w:lang w:val="ka-GE"/>
        </w:rPr>
        <w:t xml:space="preserve">                                                                                                                                                                                                                                          </w:t>
      </w:r>
    </w:p>
    <w:p w:rsidR="00A8306F" w:rsidRDefault="00A8306F" w:rsidP="00D62E87">
      <w:pPr>
        <w:tabs>
          <w:tab w:val="left" w:pos="720"/>
        </w:tabs>
        <w:spacing w:after="0" w:line="240" w:lineRule="auto"/>
        <w:jc w:val="both"/>
        <w:rPr>
          <w:rFonts w:ascii="Sylfaen" w:hAnsi="Sylfaen" w:cs="Sylfaen"/>
          <w:szCs w:val="21"/>
          <w:shd w:val="clear" w:color="auto" w:fill="FFFFFF"/>
        </w:rPr>
      </w:pPr>
    </w:p>
    <w:p w:rsidR="00BF4EC7" w:rsidRDefault="0096735A" w:rsidP="00D62E87">
      <w:pPr>
        <w:tabs>
          <w:tab w:val="left" w:pos="720"/>
        </w:tabs>
        <w:spacing w:after="0" w:line="240" w:lineRule="auto"/>
        <w:jc w:val="both"/>
        <w:rPr>
          <w:rFonts w:ascii="Sylfaen" w:hAnsi="Sylfaen" w:cs="Sylfaen"/>
          <w:shd w:val="clear" w:color="auto" w:fill="FFFFFF"/>
          <w:lang w:val="ka-GE"/>
        </w:rPr>
      </w:pPr>
      <w:r>
        <w:rPr>
          <w:rFonts w:ascii="Sylfaen" w:hAnsi="Sylfaen" w:cs="Sylfaen"/>
          <w:szCs w:val="21"/>
          <w:shd w:val="clear" w:color="auto" w:fill="FFFFFF"/>
        </w:rPr>
        <w:tab/>
      </w:r>
      <w:r w:rsidR="00567ACE" w:rsidRPr="00164B20">
        <w:rPr>
          <w:rFonts w:ascii="Sylfaen" w:hAnsi="Sylfaen" w:cs="Sylfaen"/>
          <w:szCs w:val="21"/>
          <w:shd w:val="clear" w:color="auto" w:fill="FFFFFF"/>
          <w:lang w:val="ka-GE"/>
        </w:rPr>
        <w:t xml:space="preserve">საქართველოს ფინანსთა სამინისტრომ განახორციელა </w:t>
      </w:r>
      <w:r w:rsidR="00015303" w:rsidRPr="00164B20">
        <w:rPr>
          <w:rFonts w:ascii="Sylfaen" w:hAnsi="Sylfaen" w:cs="Sylfaen"/>
          <w:szCs w:val="21"/>
          <w:shd w:val="clear" w:color="auto" w:fill="FFFFFF"/>
        </w:rPr>
        <w:t>6</w:t>
      </w:r>
      <w:r w:rsidR="00015303" w:rsidRPr="00164B20">
        <w:rPr>
          <w:rFonts w:ascii="Sylfaen" w:hAnsi="Sylfaen" w:cs="Sylfaen"/>
          <w:szCs w:val="21"/>
          <w:shd w:val="clear" w:color="auto" w:fill="FFFFFF"/>
          <w:lang w:val="ka-GE"/>
        </w:rPr>
        <w:t xml:space="preserve"> და </w:t>
      </w:r>
      <w:r w:rsidR="00567ACE" w:rsidRPr="00164B20">
        <w:rPr>
          <w:rFonts w:ascii="Sylfaen" w:hAnsi="Sylfaen" w:cs="Sylfaen"/>
          <w:szCs w:val="21"/>
          <w:shd w:val="clear" w:color="auto" w:fill="FFFFFF"/>
          <w:lang w:val="ka-GE"/>
        </w:rPr>
        <w:t>12 თვიანი სახაზინო ვალდებულებების და 2, 5 და 10 წლიანი სახაზინო ობლიგაციების ემისია. 201</w:t>
      </w:r>
      <w:r w:rsidR="0044178B" w:rsidRPr="00164B20">
        <w:rPr>
          <w:rFonts w:ascii="Sylfaen" w:hAnsi="Sylfaen" w:cs="Sylfaen"/>
          <w:szCs w:val="21"/>
          <w:shd w:val="clear" w:color="auto" w:fill="FFFFFF"/>
        </w:rPr>
        <w:t>8</w:t>
      </w:r>
      <w:r w:rsidR="00567ACE" w:rsidRPr="00164B20">
        <w:rPr>
          <w:rFonts w:ascii="Sylfaen" w:hAnsi="Sylfaen" w:cs="Sylfaen"/>
          <w:szCs w:val="21"/>
          <w:shd w:val="clear" w:color="auto" w:fill="FFFFFF"/>
          <w:lang w:val="ka-GE"/>
        </w:rPr>
        <w:t xml:space="preserve"> წლის </w:t>
      </w:r>
      <w:r w:rsidR="00B57E95">
        <w:rPr>
          <w:rFonts w:ascii="Sylfaen" w:hAnsi="Sylfaen" w:cs="Sylfaen"/>
          <w:szCs w:val="21"/>
          <w:shd w:val="clear" w:color="auto" w:fill="FFFFFF"/>
          <w:lang w:val="ka-GE"/>
        </w:rPr>
        <w:t>31</w:t>
      </w:r>
      <w:r w:rsidR="0002796C" w:rsidRPr="00164B20">
        <w:rPr>
          <w:rFonts w:ascii="Sylfaen" w:hAnsi="Sylfaen" w:cs="Sylfaen"/>
          <w:szCs w:val="21"/>
          <w:shd w:val="clear" w:color="auto" w:fill="FFFFFF"/>
        </w:rPr>
        <w:t xml:space="preserve"> </w:t>
      </w:r>
      <w:r w:rsidR="00B57E95">
        <w:rPr>
          <w:rFonts w:ascii="Sylfaen" w:hAnsi="Sylfaen" w:cs="Sylfaen"/>
          <w:szCs w:val="21"/>
          <w:shd w:val="clear" w:color="auto" w:fill="FFFFFF"/>
          <w:lang w:val="ka-GE"/>
        </w:rPr>
        <w:t xml:space="preserve">დეკემბრის </w:t>
      </w:r>
      <w:r w:rsidR="00567ACE" w:rsidRPr="00164B20">
        <w:rPr>
          <w:rFonts w:ascii="Sylfaen" w:hAnsi="Sylfaen" w:cs="Sylfaen"/>
          <w:szCs w:val="21"/>
          <w:shd w:val="clear" w:color="auto" w:fill="FFFFFF"/>
          <w:lang w:val="ka-GE"/>
        </w:rPr>
        <w:t xml:space="preserve">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 </w:t>
      </w:r>
      <w:r w:rsidR="00015303" w:rsidRPr="00164B20">
        <w:rPr>
          <w:rFonts w:ascii="Sylfaen" w:hAnsi="Sylfaen" w:cs="Sylfaen"/>
          <w:szCs w:val="21"/>
          <w:shd w:val="clear" w:color="auto" w:fill="FFFFFF"/>
          <w:lang w:val="ka-GE"/>
        </w:rPr>
        <w:t>6 თვიანზე 7.</w:t>
      </w:r>
      <w:r w:rsidR="00B57E95">
        <w:rPr>
          <w:rFonts w:ascii="Sylfaen" w:hAnsi="Sylfaen" w:cs="Sylfaen"/>
          <w:szCs w:val="21"/>
          <w:shd w:val="clear" w:color="auto" w:fill="FFFFFF"/>
          <w:lang w:val="ka-GE"/>
        </w:rPr>
        <w:t>0</w:t>
      </w:r>
      <w:r w:rsidR="00015303" w:rsidRPr="00164B20">
        <w:rPr>
          <w:rFonts w:ascii="Sylfaen" w:hAnsi="Sylfaen" w:cs="Sylfaen"/>
          <w:szCs w:val="21"/>
          <w:shd w:val="clear" w:color="auto" w:fill="FFFFFF"/>
          <w:lang w:val="ka-GE"/>
        </w:rPr>
        <w:t xml:space="preserve">%, </w:t>
      </w:r>
      <w:r w:rsidR="00567ACE" w:rsidRPr="00164B20">
        <w:rPr>
          <w:rFonts w:ascii="Sylfaen" w:hAnsi="Sylfaen" w:cs="Sylfaen"/>
          <w:szCs w:val="21"/>
          <w:shd w:val="clear" w:color="auto" w:fill="FFFFFF"/>
          <w:lang w:val="ka-GE"/>
        </w:rPr>
        <w:t>12 თვიანზე 7.</w:t>
      </w:r>
      <w:r w:rsidR="00B57E95">
        <w:rPr>
          <w:rFonts w:ascii="Sylfaen" w:hAnsi="Sylfaen" w:cs="Sylfaen"/>
          <w:szCs w:val="21"/>
          <w:shd w:val="clear" w:color="auto" w:fill="FFFFFF"/>
          <w:lang w:val="ka-GE"/>
        </w:rPr>
        <w:t>2</w:t>
      </w:r>
      <w:r w:rsidR="00567ACE" w:rsidRPr="00164B20">
        <w:rPr>
          <w:rFonts w:ascii="Sylfaen" w:hAnsi="Sylfaen" w:cs="Sylfaen"/>
          <w:szCs w:val="21"/>
          <w:shd w:val="clear" w:color="auto" w:fill="FFFFFF"/>
          <w:lang w:val="ka-GE"/>
        </w:rPr>
        <w:t xml:space="preserve">%, 2 წლიანზე - </w:t>
      </w:r>
      <w:r w:rsidR="003B15C3" w:rsidRPr="00164B20">
        <w:rPr>
          <w:rFonts w:ascii="Sylfaen" w:hAnsi="Sylfaen" w:cs="Sylfaen"/>
          <w:szCs w:val="21"/>
          <w:shd w:val="clear" w:color="auto" w:fill="FFFFFF"/>
          <w:lang w:val="ka-GE"/>
        </w:rPr>
        <w:t>7</w:t>
      </w:r>
      <w:r w:rsidR="00015303" w:rsidRPr="00164B20">
        <w:rPr>
          <w:rFonts w:ascii="Sylfaen" w:hAnsi="Sylfaen" w:cs="Sylfaen"/>
          <w:szCs w:val="21"/>
          <w:shd w:val="clear" w:color="auto" w:fill="FFFFFF"/>
          <w:lang w:val="ka-GE"/>
        </w:rPr>
        <w:t>.</w:t>
      </w:r>
      <w:r w:rsidR="00B57E95">
        <w:rPr>
          <w:rFonts w:ascii="Sylfaen" w:hAnsi="Sylfaen" w:cs="Sylfaen"/>
          <w:szCs w:val="21"/>
          <w:shd w:val="clear" w:color="auto" w:fill="FFFFFF"/>
        </w:rPr>
        <w:t>3</w:t>
      </w:r>
      <w:r w:rsidR="00567ACE" w:rsidRPr="00164B20">
        <w:rPr>
          <w:rFonts w:ascii="Sylfaen" w:hAnsi="Sylfaen" w:cs="Sylfaen"/>
          <w:szCs w:val="21"/>
          <w:shd w:val="clear" w:color="auto" w:fill="FFFFFF"/>
          <w:lang w:val="ka-GE"/>
        </w:rPr>
        <w:t xml:space="preserve">%, 5 წლიანზე - </w:t>
      </w:r>
      <w:r w:rsidR="004464CC" w:rsidRPr="00164B20">
        <w:rPr>
          <w:rFonts w:ascii="Sylfaen" w:hAnsi="Sylfaen" w:cs="Sylfaen"/>
          <w:szCs w:val="21"/>
          <w:shd w:val="clear" w:color="auto" w:fill="FFFFFF"/>
        </w:rPr>
        <w:t>7</w:t>
      </w:r>
      <w:r w:rsidR="00015303" w:rsidRPr="00164B20">
        <w:rPr>
          <w:rFonts w:ascii="Sylfaen" w:hAnsi="Sylfaen" w:cs="Sylfaen"/>
          <w:szCs w:val="21"/>
          <w:shd w:val="clear" w:color="auto" w:fill="FFFFFF"/>
          <w:lang w:val="ka-GE"/>
        </w:rPr>
        <w:t>.</w:t>
      </w:r>
      <w:r w:rsidR="00C9708E">
        <w:rPr>
          <w:rFonts w:ascii="Sylfaen" w:hAnsi="Sylfaen" w:cs="Sylfaen"/>
          <w:szCs w:val="21"/>
          <w:shd w:val="clear" w:color="auto" w:fill="FFFFFF"/>
        </w:rPr>
        <w:t>4</w:t>
      </w:r>
      <w:r w:rsidR="00567ACE" w:rsidRPr="00164B20">
        <w:rPr>
          <w:rFonts w:ascii="Sylfaen" w:hAnsi="Sylfaen" w:cs="Sylfaen"/>
          <w:szCs w:val="21"/>
          <w:shd w:val="clear" w:color="auto" w:fill="FFFFFF"/>
          <w:lang w:val="ka-GE"/>
        </w:rPr>
        <w:t xml:space="preserve">%, 10 წლიანზე - </w:t>
      </w:r>
      <w:r w:rsidR="00B57E95">
        <w:rPr>
          <w:rFonts w:ascii="Sylfaen" w:hAnsi="Sylfaen" w:cs="Sylfaen"/>
          <w:szCs w:val="21"/>
          <w:shd w:val="clear" w:color="auto" w:fill="FFFFFF"/>
          <w:lang w:val="ka-GE"/>
        </w:rPr>
        <w:t>8</w:t>
      </w:r>
      <w:r w:rsidR="00015303" w:rsidRPr="00164B20">
        <w:rPr>
          <w:rFonts w:ascii="Sylfaen" w:hAnsi="Sylfaen" w:cs="Sylfaen"/>
          <w:szCs w:val="21"/>
          <w:shd w:val="clear" w:color="auto" w:fill="FFFFFF"/>
          <w:lang w:val="ka-GE"/>
        </w:rPr>
        <w:t>.</w:t>
      </w:r>
      <w:r w:rsidR="00B57E95">
        <w:rPr>
          <w:rFonts w:ascii="Sylfaen" w:hAnsi="Sylfaen" w:cs="Sylfaen"/>
          <w:szCs w:val="21"/>
          <w:shd w:val="clear" w:color="auto" w:fill="FFFFFF"/>
          <w:lang w:val="ka-GE"/>
        </w:rPr>
        <w:t>8</w:t>
      </w:r>
      <w:r w:rsidR="00567ACE" w:rsidRPr="00164B20">
        <w:rPr>
          <w:rFonts w:ascii="Sylfaen" w:hAnsi="Sylfaen" w:cs="Sylfaen"/>
          <w:szCs w:val="21"/>
          <w:shd w:val="clear" w:color="auto" w:fill="FFFFFF"/>
        </w:rPr>
        <w:t>%</w:t>
      </w:r>
      <w:r w:rsidR="00567ACE" w:rsidRPr="00164B20">
        <w:rPr>
          <w:rFonts w:ascii="Sylfaen" w:hAnsi="Sylfaen" w:cs="Sylfaen"/>
          <w:szCs w:val="21"/>
          <w:shd w:val="clear" w:color="auto" w:fill="FFFFFF"/>
          <w:lang w:val="ka-GE"/>
        </w:rPr>
        <w:t>.</w:t>
      </w:r>
      <w:r w:rsidR="00567ACE" w:rsidRPr="00042DF5">
        <w:rPr>
          <w:rFonts w:ascii="Sylfaen" w:hAnsi="Sylfaen" w:cs="Sylfaen"/>
          <w:szCs w:val="21"/>
          <w:shd w:val="clear" w:color="auto" w:fill="FFFFFF"/>
          <w:lang w:val="ka-GE"/>
        </w:rPr>
        <w:t xml:space="preserve"> </w:t>
      </w:r>
    </w:p>
    <w:p w:rsidR="009E33C4" w:rsidRDefault="00567ACE" w:rsidP="00D62E87">
      <w:pPr>
        <w:tabs>
          <w:tab w:val="left" w:pos="288"/>
        </w:tabs>
        <w:autoSpaceDE w:val="0"/>
        <w:autoSpaceDN w:val="0"/>
        <w:adjustRightInd w:val="0"/>
        <w:spacing w:after="0" w:line="240" w:lineRule="auto"/>
        <w:ind w:firstLine="810"/>
        <w:jc w:val="both"/>
        <w:rPr>
          <w:rFonts w:ascii="Sylfaen" w:hAnsi="Sylfaen" w:cs="Sylfaen"/>
          <w:shd w:val="clear" w:color="auto" w:fill="FFFFFF"/>
        </w:rPr>
      </w:pPr>
      <w:r w:rsidRPr="00641795">
        <w:rPr>
          <w:rFonts w:ascii="Sylfaen" w:hAnsi="Sylfaen" w:cs="Sylfaen"/>
          <w:shd w:val="clear" w:color="auto" w:fill="FFFFFF"/>
          <w:lang w:val="ka-GE"/>
        </w:rPr>
        <w:t xml:space="preserve">სახელმწიფო ფასიანი ქაღალდების გამოშვების </w:t>
      </w:r>
      <w:r w:rsidRPr="00FB7087">
        <w:rPr>
          <w:rFonts w:ascii="Sylfaen" w:hAnsi="Sylfaen" w:cs="Sylfaen"/>
          <w:shd w:val="clear" w:color="auto" w:fill="FFFFFF"/>
          <w:lang w:val="ka-GE"/>
        </w:rPr>
        <w:t>შედეგად საშინაო ვალის ნაშთმა 201</w:t>
      </w:r>
      <w:r w:rsidR="0044178B" w:rsidRPr="00FB7087">
        <w:rPr>
          <w:rFonts w:ascii="Sylfaen" w:hAnsi="Sylfaen" w:cs="Sylfaen"/>
          <w:shd w:val="clear" w:color="auto" w:fill="FFFFFF"/>
          <w:lang w:val="ka-GE"/>
        </w:rPr>
        <w:t>8</w:t>
      </w:r>
      <w:r w:rsidRPr="00641795">
        <w:rPr>
          <w:rFonts w:ascii="Sylfaen" w:hAnsi="Sylfaen" w:cs="Sylfaen"/>
          <w:shd w:val="clear" w:color="auto" w:fill="FFFFFF"/>
          <w:lang w:val="ka-GE"/>
        </w:rPr>
        <w:t xml:space="preserve"> წლის </w:t>
      </w:r>
      <w:r w:rsidR="00B57E95">
        <w:rPr>
          <w:rFonts w:ascii="Sylfaen" w:hAnsi="Sylfaen" w:cs="Sylfaen"/>
          <w:szCs w:val="21"/>
          <w:shd w:val="clear" w:color="auto" w:fill="FFFFFF"/>
          <w:lang w:val="ka-GE"/>
        </w:rPr>
        <w:t>31</w:t>
      </w:r>
      <w:r w:rsidR="0002796C">
        <w:rPr>
          <w:rFonts w:ascii="Sylfaen" w:hAnsi="Sylfaen" w:cs="Sylfaen"/>
          <w:szCs w:val="21"/>
          <w:shd w:val="clear" w:color="auto" w:fill="FFFFFF"/>
        </w:rPr>
        <w:t xml:space="preserve"> </w:t>
      </w:r>
      <w:r w:rsidR="00B57E95">
        <w:rPr>
          <w:rFonts w:ascii="Sylfaen" w:hAnsi="Sylfaen" w:cs="Sylfaen"/>
          <w:szCs w:val="21"/>
          <w:shd w:val="clear" w:color="auto" w:fill="FFFFFF"/>
          <w:lang w:val="ka-GE"/>
        </w:rPr>
        <w:t>დეკემბრის</w:t>
      </w:r>
      <w:r w:rsidR="0044178B" w:rsidRPr="00641795">
        <w:rPr>
          <w:rFonts w:ascii="Sylfaen" w:hAnsi="Sylfaen" w:cs="Sylfaen"/>
          <w:shd w:val="clear" w:color="auto" w:fill="FFFFFF"/>
          <w:lang w:val="ka-GE"/>
        </w:rPr>
        <w:t xml:space="preserve"> </w:t>
      </w:r>
      <w:r w:rsidRPr="00641795">
        <w:rPr>
          <w:rFonts w:ascii="Sylfaen" w:hAnsi="Sylfaen" w:cs="Sylfaen"/>
          <w:shd w:val="clear" w:color="auto" w:fill="FFFFFF"/>
          <w:lang w:val="ka-GE"/>
        </w:rPr>
        <w:t>მდგომარეობით შეადგენ</w:t>
      </w:r>
      <w:r w:rsidR="00576720">
        <w:rPr>
          <w:rFonts w:ascii="Sylfaen" w:hAnsi="Sylfaen" w:cs="Sylfaen"/>
          <w:shd w:val="clear" w:color="auto" w:fill="FFFFFF"/>
          <w:lang w:val="ka-GE"/>
        </w:rPr>
        <w:t>ა</w:t>
      </w:r>
      <w:r w:rsidRPr="00641795">
        <w:rPr>
          <w:rFonts w:ascii="Sylfaen" w:hAnsi="Sylfaen" w:cs="Sylfaen"/>
          <w:shd w:val="clear" w:color="auto" w:fill="FFFFFF"/>
          <w:lang w:val="ka-GE"/>
        </w:rPr>
        <w:t xml:space="preserve"> </w:t>
      </w:r>
      <w:r w:rsidR="0039166F">
        <w:rPr>
          <w:rFonts w:ascii="Sylfaen" w:hAnsi="Sylfaen" w:cs="Sylfaen"/>
          <w:shd w:val="clear" w:color="auto" w:fill="FFFFFF"/>
          <w:lang w:val="ka-GE"/>
        </w:rPr>
        <w:t>3</w:t>
      </w:r>
      <w:r w:rsidR="0044178B">
        <w:rPr>
          <w:rFonts w:ascii="Sylfaen" w:hAnsi="Sylfaen" w:cs="Sylfaen"/>
          <w:shd w:val="clear" w:color="auto" w:fill="FFFFFF"/>
          <w:lang w:val="ka-GE"/>
        </w:rPr>
        <w:t>,</w:t>
      </w:r>
      <w:r w:rsidR="00B57E95">
        <w:rPr>
          <w:rFonts w:ascii="Sylfaen" w:hAnsi="Sylfaen" w:cs="Sylfaen"/>
          <w:shd w:val="clear" w:color="auto" w:fill="FFFFFF"/>
          <w:lang w:val="ka-GE"/>
        </w:rPr>
        <w:t>250</w:t>
      </w:r>
      <w:r w:rsidR="0044178B">
        <w:rPr>
          <w:rFonts w:ascii="Sylfaen" w:hAnsi="Sylfaen" w:cs="Sylfaen"/>
          <w:shd w:val="clear" w:color="auto" w:fill="FFFFFF"/>
          <w:lang w:val="ka-GE"/>
        </w:rPr>
        <w:t>.</w:t>
      </w:r>
      <w:r w:rsidR="00B57E95">
        <w:rPr>
          <w:rFonts w:ascii="Sylfaen" w:hAnsi="Sylfaen" w:cs="Sylfaen"/>
          <w:shd w:val="clear" w:color="auto" w:fill="FFFFFF"/>
          <w:lang w:val="ka-GE"/>
        </w:rPr>
        <w:t>5</w:t>
      </w:r>
      <w:r w:rsidR="0044178B">
        <w:rPr>
          <w:rFonts w:ascii="Sylfaen" w:hAnsi="Sylfaen" w:cs="Sylfaen"/>
          <w:shd w:val="clear" w:color="auto" w:fill="FFFFFF"/>
          <w:lang w:val="ka-GE"/>
        </w:rPr>
        <w:t xml:space="preserve"> </w:t>
      </w:r>
      <w:r w:rsidRPr="00641795">
        <w:rPr>
          <w:rFonts w:ascii="Sylfaen" w:hAnsi="Sylfaen" w:cs="Sylfaen"/>
          <w:shd w:val="clear" w:color="auto" w:fill="FFFFFF"/>
          <w:lang w:val="ka-GE"/>
        </w:rPr>
        <w:t>მილიონ</w:t>
      </w:r>
      <w:r w:rsidR="003B15C3">
        <w:rPr>
          <w:rFonts w:ascii="Sylfaen" w:hAnsi="Sylfaen" w:cs="Sylfaen"/>
          <w:shd w:val="clear" w:color="auto" w:fill="FFFFFF"/>
          <w:lang w:val="ka-GE"/>
        </w:rPr>
        <w:t>ი</w:t>
      </w:r>
      <w:r w:rsidRPr="00641795">
        <w:rPr>
          <w:rFonts w:ascii="Sylfaen" w:hAnsi="Sylfaen" w:cs="Sylfaen"/>
          <w:shd w:val="clear" w:color="auto" w:fill="FFFFFF"/>
          <w:lang w:val="ka-GE"/>
        </w:rPr>
        <w:t xml:space="preserve"> ლარი (სახელმწიფო ფასიანი ქაღალდების დაუფარავი მოცულობა ნომინალებში - </w:t>
      </w:r>
      <w:r w:rsidR="0039166F">
        <w:rPr>
          <w:rFonts w:ascii="Sylfaen" w:hAnsi="Sylfaen" w:cs="Sylfaen"/>
          <w:shd w:val="clear" w:color="auto" w:fill="FFFFFF"/>
          <w:lang w:val="ka-GE"/>
        </w:rPr>
        <w:t>3</w:t>
      </w:r>
      <w:r w:rsidR="0044178B">
        <w:rPr>
          <w:rFonts w:ascii="Sylfaen" w:hAnsi="Sylfaen" w:cs="Sylfaen"/>
          <w:shd w:val="clear" w:color="auto" w:fill="FFFFFF"/>
          <w:lang w:val="ka-GE"/>
        </w:rPr>
        <w:t>,</w:t>
      </w:r>
      <w:r w:rsidR="00B57E95">
        <w:rPr>
          <w:rFonts w:ascii="Sylfaen" w:hAnsi="Sylfaen" w:cs="Sylfaen"/>
          <w:shd w:val="clear" w:color="auto" w:fill="FFFFFF"/>
          <w:lang w:val="ka-GE"/>
        </w:rPr>
        <w:t>265</w:t>
      </w:r>
      <w:r w:rsidR="0044178B">
        <w:rPr>
          <w:rFonts w:ascii="Sylfaen" w:hAnsi="Sylfaen" w:cs="Sylfaen"/>
          <w:shd w:val="clear" w:color="auto" w:fill="FFFFFF"/>
          <w:lang w:val="ka-GE"/>
        </w:rPr>
        <w:t xml:space="preserve">.9 </w:t>
      </w:r>
      <w:r w:rsidRPr="00641795">
        <w:rPr>
          <w:rFonts w:ascii="Sylfaen" w:hAnsi="Sylfaen" w:cs="Sylfaen"/>
          <w:shd w:val="clear" w:color="auto" w:fill="FFFFFF"/>
          <w:lang w:val="ka-GE"/>
        </w:rPr>
        <w:t xml:space="preserve">მლნ ლარი), აქედან </w:t>
      </w:r>
      <w:r w:rsidR="004464CC" w:rsidRPr="004464CC">
        <w:rPr>
          <w:rFonts w:ascii="Sylfaen" w:hAnsi="Sylfaen" w:cs="Sylfaen"/>
          <w:shd w:val="clear" w:color="auto" w:fill="FFFFFF"/>
          <w:lang w:val="ka-GE"/>
        </w:rPr>
        <w:t>2</w:t>
      </w:r>
      <w:r w:rsidR="004464CC">
        <w:rPr>
          <w:rFonts w:ascii="Sylfaen" w:hAnsi="Sylfaen" w:cs="Sylfaen"/>
          <w:shd w:val="clear" w:color="auto" w:fill="FFFFFF"/>
          <w:lang w:val="ka-GE"/>
        </w:rPr>
        <w:t>,</w:t>
      </w:r>
      <w:r w:rsidR="00B57E95">
        <w:rPr>
          <w:rFonts w:ascii="Sylfaen" w:hAnsi="Sylfaen" w:cs="Sylfaen"/>
          <w:shd w:val="clear" w:color="auto" w:fill="FFFFFF"/>
          <w:lang w:val="ka-GE"/>
        </w:rPr>
        <w:t>817</w:t>
      </w:r>
      <w:r w:rsidR="004464CC">
        <w:rPr>
          <w:rFonts w:ascii="Sylfaen" w:hAnsi="Sylfaen" w:cs="Sylfaen"/>
          <w:shd w:val="clear" w:color="auto" w:fill="FFFFFF"/>
          <w:lang w:val="ka-GE"/>
        </w:rPr>
        <w:t>.</w:t>
      </w:r>
      <w:r w:rsidR="00B57E95">
        <w:rPr>
          <w:rFonts w:ascii="Sylfaen" w:hAnsi="Sylfaen" w:cs="Sylfaen"/>
          <w:shd w:val="clear" w:color="auto" w:fill="FFFFFF"/>
          <w:lang w:val="ka-GE"/>
        </w:rPr>
        <w:t>6</w:t>
      </w:r>
      <w:r w:rsidR="004464CC">
        <w:rPr>
          <w:rFonts w:ascii="Sylfaen" w:hAnsi="Sylfaen" w:cs="Sylfaen"/>
          <w:shd w:val="clear" w:color="auto" w:fill="FFFFFF"/>
          <w:lang w:val="ka-GE"/>
        </w:rPr>
        <w:t xml:space="preserve"> </w:t>
      </w:r>
      <w:r w:rsidRPr="00641795">
        <w:rPr>
          <w:rFonts w:ascii="Sylfaen" w:hAnsi="Sylfaen" w:cs="Sylfaen"/>
          <w:shd w:val="clear" w:color="auto" w:fill="FFFFFF"/>
          <w:lang w:val="ka-GE"/>
        </w:rPr>
        <w:t xml:space="preserve">მილიონი ლარი წარმოადგენს ნაშთს სახაზინო ვალდებულებების და ობლიგაციების ნაწილში, ხოლო </w:t>
      </w:r>
      <w:r w:rsidR="00B57E95">
        <w:rPr>
          <w:rFonts w:ascii="Sylfaen" w:hAnsi="Sylfaen" w:cs="Sylfaen"/>
          <w:shd w:val="clear" w:color="auto" w:fill="FFFFFF"/>
          <w:lang w:val="ka-GE"/>
        </w:rPr>
        <w:t>432</w:t>
      </w:r>
      <w:r w:rsidR="00576720">
        <w:rPr>
          <w:rFonts w:ascii="Sylfaen" w:hAnsi="Sylfaen" w:cs="Sylfaen"/>
          <w:shd w:val="clear" w:color="auto" w:fill="FFFFFF"/>
          <w:lang w:val="ka-GE"/>
        </w:rPr>
        <w:t>.</w:t>
      </w:r>
      <w:r w:rsidR="00576720" w:rsidRPr="00576720">
        <w:rPr>
          <w:rFonts w:ascii="Sylfaen" w:hAnsi="Sylfaen" w:cs="Sylfaen"/>
          <w:shd w:val="clear" w:color="auto" w:fill="FFFFFF"/>
          <w:lang w:val="ka-GE"/>
        </w:rPr>
        <w:t>8</w:t>
      </w:r>
      <w:r w:rsidR="00576720">
        <w:rPr>
          <w:rFonts w:ascii="Sylfaen" w:hAnsi="Sylfaen" w:cs="Sylfaen"/>
          <w:shd w:val="clear" w:color="auto" w:fill="FFFFFF"/>
          <w:lang w:val="ka-GE"/>
        </w:rPr>
        <w:t xml:space="preserve"> </w:t>
      </w:r>
      <w:r w:rsidRPr="00641795">
        <w:rPr>
          <w:rFonts w:ascii="Sylfaen" w:hAnsi="Sylfaen" w:cs="Sylfaen"/>
          <w:shd w:val="clear" w:color="auto" w:fill="FFFFFF"/>
          <w:lang w:val="ka-GE"/>
        </w:rPr>
        <w:t>მილიონი ლარი - „სახელმწიფო ობლიგაციები სებ-სთვის და ღია ბაზრის ოპერაციებისათვის“ ნაწილში.</w:t>
      </w:r>
    </w:p>
    <w:p w:rsidR="00A8306F" w:rsidRDefault="00A8306F">
      <w:pPr>
        <w:rPr>
          <w:rFonts w:ascii="Sylfaen" w:hAnsi="Sylfaen" w:cs="Sylfaen"/>
          <w:shd w:val="clear" w:color="auto" w:fill="FFFFFF"/>
        </w:rPr>
      </w:pPr>
      <w:r>
        <w:rPr>
          <w:rFonts w:ascii="Sylfaen" w:hAnsi="Sylfaen" w:cs="Sylfaen"/>
          <w:shd w:val="clear" w:color="auto" w:fill="FFFFFF"/>
        </w:rPr>
        <w:br w:type="page"/>
      </w:r>
    </w:p>
    <w:p w:rsidR="009E33C4" w:rsidRPr="00FB7087" w:rsidRDefault="009E33C4" w:rsidP="00D62E87">
      <w:pPr>
        <w:tabs>
          <w:tab w:val="left" w:pos="288"/>
        </w:tabs>
        <w:autoSpaceDE w:val="0"/>
        <w:autoSpaceDN w:val="0"/>
        <w:adjustRightInd w:val="0"/>
        <w:spacing w:after="0" w:line="240" w:lineRule="auto"/>
        <w:ind w:firstLine="810"/>
        <w:jc w:val="both"/>
        <w:rPr>
          <w:rFonts w:ascii="Sylfaen" w:hAnsi="Sylfaen" w:cs="Sylfaen"/>
          <w:shd w:val="clear" w:color="auto" w:fill="FFFFFF"/>
        </w:rPr>
      </w:pPr>
    </w:p>
    <w:p w:rsidR="00F26066" w:rsidRPr="00C367E2" w:rsidRDefault="00F26066" w:rsidP="00FB7087">
      <w:pPr>
        <w:spacing w:line="240" w:lineRule="auto"/>
        <w:jc w:val="center"/>
        <w:rPr>
          <w:rFonts w:ascii="Sylfaen" w:hAnsi="Sylfaen" w:cs="Sylfaen"/>
          <w:b/>
          <w:szCs w:val="18"/>
          <w:shd w:val="clear" w:color="auto" w:fill="FFFFFF"/>
        </w:rPr>
      </w:pPr>
      <w:r w:rsidRPr="00C367E2">
        <w:rPr>
          <w:rFonts w:ascii="Sylfaen" w:hAnsi="Sylfaen" w:cs="Sylfaen"/>
          <w:b/>
          <w:szCs w:val="18"/>
          <w:shd w:val="clear" w:color="auto" w:fill="FFFFFF"/>
          <w:lang w:val="ka-GE"/>
        </w:rPr>
        <w:t xml:space="preserve">სახელმწიფო  ფასიანი ქაღალდების დაუფარავი მოცულობა ნომინალებში ვადის და ტიპის მიხედვით </w:t>
      </w:r>
      <w:r w:rsidR="0044178B" w:rsidRPr="00C367E2">
        <w:rPr>
          <w:rFonts w:ascii="Sylfaen" w:hAnsi="Sylfaen" w:cs="Sylfaen"/>
          <w:b/>
          <w:szCs w:val="18"/>
          <w:shd w:val="clear" w:color="auto" w:fill="FFFFFF"/>
          <w:lang w:val="ka-GE"/>
        </w:rPr>
        <w:t>201</w:t>
      </w:r>
      <w:r w:rsidR="0044178B">
        <w:rPr>
          <w:rFonts w:ascii="Sylfaen" w:hAnsi="Sylfaen" w:cs="Sylfaen"/>
          <w:b/>
          <w:szCs w:val="18"/>
          <w:shd w:val="clear" w:color="auto" w:fill="FFFFFF"/>
          <w:lang w:val="ka-GE"/>
        </w:rPr>
        <w:t>8</w:t>
      </w:r>
      <w:r w:rsidR="0044178B" w:rsidRPr="00C367E2">
        <w:rPr>
          <w:rFonts w:ascii="Sylfaen" w:hAnsi="Sylfaen" w:cs="Sylfaen"/>
          <w:b/>
          <w:szCs w:val="18"/>
          <w:shd w:val="clear" w:color="auto" w:fill="FFFFFF"/>
          <w:lang w:val="ka-GE"/>
        </w:rPr>
        <w:t xml:space="preserve"> </w:t>
      </w:r>
      <w:r w:rsidRPr="00C367E2">
        <w:rPr>
          <w:rFonts w:ascii="Sylfaen" w:hAnsi="Sylfaen" w:cs="Sylfaen"/>
          <w:b/>
          <w:szCs w:val="18"/>
          <w:shd w:val="clear" w:color="auto" w:fill="FFFFFF"/>
          <w:lang w:val="ka-GE"/>
        </w:rPr>
        <w:t xml:space="preserve">წლის </w:t>
      </w:r>
      <w:r w:rsidR="00B57E95">
        <w:rPr>
          <w:rFonts w:ascii="Sylfaen" w:hAnsi="Sylfaen" w:cs="Sylfaen"/>
          <w:b/>
          <w:szCs w:val="18"/>
          <w:shd w:val="clear" w:color="auto" w:fill="FFFFFF"/>
          <w:lang w:val="ka-GE"/>
        </w:rPr>
        <w:t>31</w:t>
      </w:r>
      <w:r w:rsidR="00164B20">
        <w:rPr>
          <w:rFonts w:ascii="Sylfaen" w:hAnsi="Sylfaen" w:cs="Sylfaen"/>
          <w:b/>
          <w:szCs w:val="18"/>
          <w:shd w:val="clear" w:color="auto" w:fill="FFFFFF"/>
        </w:rPr>
        <w:t xml:space="preserve"> </w:t>
      </w:r>
      <w:r w:rsidR="00B57E95">
        <w:rPr>
          <w:rFonts w:ascii="Sylfaen" w:hAnsi="Sylfaen" w:cs="Sylfaen"/>
          <w:b/>
          <w:szCs w:val="18"/>
          <w:shd w:val="clear" w:color="auto" w:fill="FFFFFF"/>
          <w:lang w:val="ka-GE"/>
        </w:rPr>
        <w:t>დეკემბრის</w:t>
      </w:r>
      <w:r w:rsidR="0044178B" w:rsidRPr="00C367E2">
        <w:rPr>
          <w:rFonts w:ascii="Sylfaen" w:hAnsi="Sylfaen" w:cs="Sylfaen"/>
          <w:b/>
          <w:szCs w:val="18"/>
          <w:shd w:val="clear" w:color="auto" w:fill="FFFFFF"/>
          <w:lang w:val="ka-GE"/>
        </w:rPr>
        <w:t xml:space="preserve"> </w:t>
      </w:r>
      <w:r w:rsidRPr="00C367E2">
        <w:rPr>
          <w:rFonts w:ascii="Sylfaen" w:hAnsi="Sylfaen" w:cs="Sylfaen"/>
          <w:b/>
          <w:szCs w:val="18"/>
          <w:shd w:val="clear" w:color="auto" w:fill="FFFFFF"/>
          <w:lang w:val="ka-GE"/>
        </w:rPr>
        <w:t>მდგომარეობით</w:t>
      </w:r>
    </w:p>
    <w:p w:rsidR="00F26066" w:rsidRPr="00C367E2" w:rsidRDefault="00F26066" w:rsidP="00D62E87">
      <w:pPr>
        <w:autoSpaceDE w:val="0"/>
        <w:autoSpaceDN w:val="0"/>
        <w:adjustRightInd w:val="0"/>
        <w:spacing w:after="0" w:line="240" w:lineRule="auto"/>
        <w:jc w:val="center"/>
        <w:rPr>
          <w:rFonts w:ascii="Sylfaen" w:hAnsi="Sylfaen" w:cs="Sylfaen"/>
          <w:b/>
          <w:sz w:val="14"/>
          <w:szCs w:val="14"/>
          <w:shd w:val="clear" w:color="auto" w:fill="FFFFFF"/>
        </w:rPr>
      </w:pPr>
    </w:p>
    <w:p w:rsidR="00F26066" w:rsidRPr="00C367E2" w:rsidRDefault="00F26066" w:rsidP="00D62E87">
      <w:pPr>
        <w:autoSpaceDE w:val="0"/>
        <w:autoSpaceDN w:val="0"/>
        <w:adjustRightInd w:val="0"/>
        <w:spacing w:after="0" w:line="240" w:lineRule="auto"/>
        <w:ind w:left="7200"/>
        <w:jc w:val="right"/>
        <w:rPr>
          <w:rFonts w:ascii="Sylfaen" w:hAnsi="Sylfaen" w:cs="Sylfaen"/>
          <w:b/>
          <w:i/>
          <w:sz w:val="20"/>
          <w:szCs w:val="18"/>
          <w:shd w:val="clear" w:color="auto" w:fill="FFFFFF"/>
        </w:rPr>
      </w:pPr>
      <w:r w:rsidRPr="00C367E2">
        <w:rPr>
          <w:rFonts w:ascii="Sylfaen" w:hAnsi="Sylfaen" w:cs="Sylfaen"/>
          <w:b/>
          <w:szCs w:val="18"/>
          <w:shd w:val="clear" w:color="auto" w:fill="FFFFFF"/>
          <w:lang w:val="ka-GE"/>
        </w:rPr>
        <w:t xml:space="preserve">  </w:t>
      </w:r>
      <w:r w:rsidRPr="00C367E2">
        <w:rPr>
          <w:rFonts w:ascii="Sylfaen" w:hAnsi="Sylfaen" w:cs="Sylfaen"/>
          <w:b/>
          <w:szCs w:val="18"/>
          <w:shd w:val="clear" w:color="auto" w:fill="FFFFFF"/>
        </w:rPr>
        <w:tab/>
      </w:r>
      <w:r w:rsidRPr="00C367E2">
        <w:rPr>
          <w:rFonts w:ascii="Sylfaen" w:hAnsi="Sylfaen" w:cs="Sylfaen"/>
          <w:b/>
          <w:szCs w:val="18"/>
          <w:shd w:val="clear" w:color="auto" w:fill="FFFFFF"/>
          <w:lang w:val="ka-GE"/>
        </w:rPr>
        <w:t xml:space="preserve"> </w:t>
      </w:r>
      <w:r w:rsidRPr="00C367E2">
        <w:rPr>
          <w:rFonts w:ascii="Sylfaen" w:hAnsi="Sylfaen" w:cs="Sylfaen"/>
          <w:b/>
          <w:i/>
          <w:sz w:val="20"/>
          <w:szCs w:val="18"/>
          <w:shd w:val="clear" w:color="auto" w:fill="FFFFFF"/>
          <w:lang w:val="ka-GE"/>
        </w:rPr>
        <w:t>ათასი ლარი</w:t>
      </w:r>
    </w:p>
    <w:tbl>
      <w:tblPr>
        <w:tblStyle w:val="TableGrid"/>
        <w:tblW w:w="509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81"/>
        <w:gridCol w:w="3212"/>
      </w:tblGrid>
      <w:tr w:rsidR="0044178B" w:rsidRPr="00C367E2" w:rsidTr="00AD2AF0">
        <w:trPr>
          <w:trHeight w:val="703"/>
        </w:trPr>
        <w:tc>
          <w:tcPr>
            <w:tcW w:w="3539" w:type="pct"/>
            <w:vAlign w:val="center"/>
            <w:hideMark/>
          </w:tcPr>
          <w:p w:rsidR="0044178B" w:rsidRPr="00C367E2" w:rsidRDefault="0044178B" w:rsidP="00D62E87">
            <w:pPr>
              <w:rPr>
                <w:rFonts w:ascii="Sylfaen" w:eastAsia="Times New Roman" w:hAnsi="Sylfaen" w:cs="Arial"/>
                <w:b/>
                <w:bCs/>
                <w:sz w:val="18"/>
                <w:szCs w:val="18"/>
                <w:lang w:val="ka-GE"/>
              </w:rPr>
            </w:pPr>
            <w:r w:rsidRPr="00C367E2">
              <w:rPr>
                <w:rFonts w:ascii="Sylfaen" w:eastAsia="Times New Roman" w:hAnsi="Sylfaen" w:cs="Arial"/>
                <w:b/>
                <w:bCs/>
                <w:szCs w:val="18"/>
                <w:lang w:val="ka-GE"/>
              </w:rPr>
              <w:t>სულ</w:t>
            </w:r>
          </w:p>
        </w:tc>
        <w:tc>
          <w:tcPr>
            <w:tcW w:w="1461" w:type="pct"/>
            <w:hideMark/>
          </w:tcPr>
          <w:p w:rsidR="0044178B" w:rsidRPr="00B57E95" w:rsidRDefault="0044178B" w:rsidP="00D62E87">
            <w:pPr>
              <w:jc w:val="center"/>
              <w:rPr>
                <w:b/>
              </w:rPr>
            </w:pPr>
          </w:p>
          <w:p w:rsidR="0044178B" w:rsidRPr="00B57E95" w:rsidRDefault="00B57E95" w:rsidP="00D62E87">
            <w:pPr>
              <w:jc w:val="center"/>
              <w:rPr>
                <w:b/>
                <w:sz w:val="24"/>
                <w:szCs w:val="24"/>
              </w:rPr>
            </w:pPr>
            <w:r w:rsidRPr="00B57E95">
              <w:rPr>
                <w:b/>
                <w:sz w:val="24"/>
                <w:szCs w:val="24"/>
              </w:rPr>
              <w:t>3</w:t>
            </w:r>
            <w:r w:rsidRPr="00B57E95">
              <w:rPr>
                <w:rFonts w:ascii="Sylfaen" w:hAnsi="Sylfaen"/>
                <w:b/>
                <w:sz w:val="24"/>
                <w:szCs w:val="24"/>
                <w:lang w:val="ka-GE"/>
              </w:rPr>
              <w:t>,</w:t>
            </w:r>
            <w:r w:rsidRPr="00B57E95">
              <w:rPr>
                <w:b/>
                <w:sz w:val="24"/>
                <w:szCs w:val="24"/>
              </w:rPr>
              <w:t>265</w:t>
            </w:r>
            <w:r w:rsidRPr="00B57E95">
              <w:rPr>
                <w:rFonts w:ascii="Sylfaen" w:hAnsi="Sylfaen"/>
                <w:b/>
                <w:sz w:val="24"/>
                <w:szCs w:val="24"/>
                <w:lang w:val="ka-GE"/>
              </w:rPr>
              <w:t>,</w:t>
            </w:r>
            <w:r w:rsidRPr="00B57E95">
              <w:rPr>
                <w:b/>
                <w:sz w:val="24"/>
                <w:szCs w:val="24"/>
              </w:rPr>
              <w:t>868.0</w:t>
            </w:r>
          </w:p>
        </w:tc>
      </w:tr>
      <w:tr w:rsidR="0044178B" w:rsidRPr="00C367E2" w:rsidTr="00AD2AF0">
        <w:trPr>
          <w:trHeight w:val="330"/>
        </w:trPr>
        <w:tc>
          <w:tcPr>
            <w:tcW w:w="3539" w:type="pct"/>
            <w:hideMark/>
          </w:tcPr>
          <w:p w:rsidR="0044178B" w:rsidRPr="00B57E95" w:rsidRDefault="0044178B" w:rsidP="00D62E87">
            <w:pPr>
              <w:rPr>
                <w:rFonts w:ascii="Sylfaen" w:eastAsia="Times New Roman" w:hAnsi="Sylfaen" w:cs="Arial"/>
                <w:b/>
                <w:bCs/>
                <w:sz w:val="20"/>
                <w:szCs w:val="20"/>
              </w:rPr>
            </w:pPr>
            <w:r w:rsidRPr="00B57E95">
              <w:rPr>
                <w:rFonts w:ascii="Sylfaen" w:eastAsia="Times New Roman" w:hAnsi="Sylfaen" w:cs="Arial"/>
                <w:b/>
                <w:bCs/>
                <w:sz w:val="20"/>
                <w:szCs w:val="20"/>
              </w:rPr>
              <w:t>სახაზინო ფასიანი ქაღალდები</w:t>
            </w:r>
          </w:p>
        </w:tc>
        <w:tc>
          <w:tcPr>
            <w:tcW w:w="1461" w:type="pct"/>
            <w:hideMark/>
          </w:tcPr>
          <w:p w:rsidR="0044178B" w:rsidRPr="00B57E95" w:rsidRDefault="0039166F" w:rsidP="00B57E95">
            <w:pPr>
              <w:jc w:val="center"/>
              <w:rPr>
                <w:b/>
              </w:rPr>
            </w:pPr>
            <w:r w:rsidRPr="0039166F">
              <w:rPr>
                <w:b/>
              </w:rPr>
              <w:t>2</w:t>
            </w:r>
            <w:r w:rsidRPr="00B57E95">
              <w:rPr>
                <w:b/>
              </w:rPr>
              <w:t>,</w:t>
            </w:r>
            <w:r w:rsidR="00B57E95" w:rsidRPr="00B57E95">
              <w:rPr>
                <w:b/>
              </w:rPr>
              <w:t>833</w:t>
            </w:r>
            <w:r w:rsidRPr="00B57E95">
              <w:rPr>
                <w:b/>
              </w:rPr>
              <w:t>,</w:t>
            </w:r>
            <w:r w:rsidRPr="0039166F">
              <w:rPr>
                <w:b/>
              </w:rPr>
              <w:t>022</w:t>
            </w:r>
            <w:r w:rsidRPr="00B57E95">
              <w:rPr>
                <w:b/>
              </w:rPr>
              <w:t>.0</w:t>
            </w:r>
          </w:p>
        </w:tc>
      </w:tr>
      <w:tr w:rsidR="0044178B" w:rsidRPr="00C367E2" w:rsidTr="00AD2AF0">
        <w:trPr>
          <w:trHeight w:val="304"/>
        </w:trPr>
        <w:tc>
          <w:tcPr>
            <w:tcW w:w="3539" w:type="pct"/>
            <w:noWrap/>
          </w:tcPr>
          <w:p w:rsidR="0044178B" w:rsidRPr="00C367E2" w:rsidRDefault="0044178B" w:rsidP="00D62E87">
            <w:pPr>
              <w:rPr>
                <w:rFonts w:ascii="Calibri" w:eastAsia="Times New Roman" w:hAnsi="Calibri" w:cs="Calibri"/>
                <w:sz w:val="18"/>
                <w:szCs w:val="18"/>
              </w:rPr>
            </w:pPr>
            <w:r>
              <w:rPr>
                <w:rFonts w:ascii="Sylfaen" w:eastAsia="Times New Roman" w:hAnsi="Sylfaen" w:cs="Calibri"/>
                <w:sz w:val="18"/>
                <w:szCs w:val="18"/>
                <w:lang w:val="ka-GE"/>
              </w:rPr>
              <w:t>6</w:t>
            </w:r>
            <w:r w:rsidRPr="00C367E2">
              <w:rPr>
                <w:rFonts w:ascii="Calibri" w:eastAsia="Times New Roman" w:hAnsi="Calibri" w:cs="Calibri"/>
                <w:sz w:val="18"/>
                <w:szCs w:val="18"/>
              </w:rPr>
              <w:t xml:space="preserve"> </w:t>
            </w:r>
            <w:r w:rsidRPr="00C367E2">
              <w:rPr>
                <w:rFonts w:ascii="Sylfaen" w:eastAsia="Times New Roman" w:hAnsi="Sylfaen" w:cs="Calibri"/>
                <w:sz w:val="18"/>
                <w:szCs w:val="18"/>
              </w:rPr>
              <w:t>თვის</w:t>
            </w:r>
            <w:r w:rsidRPr="00C367E2">
              <w:rPr>
                <w:rFonts w:ascii="Calibri" w:eastAsia="Times New Roman" w:hAnsi="Calibri" w:cs="Calibri"/>
                <w:sz w:val="18"/>
                <w:szCs w:val="18"/>
              </w:rPr>
              <w:t xml:space="preserve"> </w:t>
            </w:r>
            <w:r w:rsidRPr="00C367E2">
              <w:rPr>
                <w:rFonts w:ascii="Sylfaen" w:eastAsia="Times New Roman" w:hAnsi="Sylfaen" w:cs="Calibri"/>
                <w:sz w:val="18"/>
                <w:szCs w:val="18"/>
              </w:rPr>
              <w:t>ვადიანობის</w:t>
            </w:r>
            <w:r w:rsidRPr="00C367E2">
              <w:rPr>
                <w:rFonts w:ascii="Calibri" w:eastAsia="Times New Roman" w:hAnsi="Calibri" w:cs="Calibri"/>
                <w:sz w:val="18"/>
                <w:szCs w:val="18"/>
              </w:rPr>
              <w:t xml:space="preserve"> </w:t>
            </w:r>
            <w:r w:rsidRPr="00C367E2">
              <w:rPr>
                <w:rFonts w:ascii="Sylfaen" w:eastAsia="Times New Roman" w:hAnsi="Sylfaen" w:cs="Calibri"/>
                <w:sz w:val="18"/>
                <w:szCs w:val="18"/>
              </w:rPr>
              <w:t>სახაზინო</w:t>
            </w:r>
            <w:r w:rsidRPr="00C367E2">
              <w:rPr>
                <w:rFonts w:ascii="Calibri" w:eastAsia="Times New Roman" w:hAnsi="Calibri" w:cs="Calibri"/>
                <w:sz w:val="18"/>
                <w:szCs w:val="18"/>
              </w:rPr>
              <w:t xml:space="preserve"> </w:t>
            </w:r>
            <w:r w:rsidRPr="00C367E2">
              <w:rPr>
                <w:rFonts w:ascii="Sylfaen" w:eastAsia="Times New Roman" w:hAnsi="Sylfaen" w:cs="Calibri"/>
                <w:sz w:val="18"/>
                <w:szCs w:val="18"/>
              </w:rPr>
              <w:t>ვალდებულებები</w:t>
            </w:r>
          </w:p>
        </w:tc>
        <w:tc>
          <w:tcPr>
            <w:tcW w:w="1461" w:type="pct"/>
          </w:tcPr>
          <w:p w:rsidR="0044178B" w:rsidRPr="00B57E95" w:rsidRDefault="0039166F" w:rsidP="00D62E87">
            <w:pPr>
              <w:jc w:val="center"/>
            </w:pPr>
            <w:r w:rsidRPr="00B57E95">
              <w:t>120,000.0</w:t>
            </w:r>
          </w:p>
        </w:tc>
      </w:tr>
      <w:tr w:rsidR="0044178B" w:rsidRPr="00C367E2" w:rsidTr="00AD2AF0">
        <w:trPr>
          <w:trHeight w:val="304"/>
        </w:trPr>
        <w:tc>
          <w:tcPr>
            <w:tcW w:w="3539" w:type="pct"/>
            <w:noWrap/>
            <w:hideMark/>
          </w:tcPr>
          <w:p w:rsidR="0044178B" w:rsidRPr="00C367E2" w:rsidRDefault="0044178B" w:rsidP="00D62E87">
            <w:pPr>
              <w:rPr>
                <w:rFonts w:ascii="Calibri" w:eastAsia="Times New Roman" w:hAnsi="Calibri" w:cs="Calibri"/>
                <w:sz w:val="18"/>
                <w:szCs w:val="18"/>
              </w:rPr>
            </w:pPr>
            <w:r w:rsidRPr="00C367E2">
              <w:rPr>
                <w:rFonts w:ascii="Calibri" w:eastAsia="Times New Roman" w:hAnsi="Calibri" w:cs="Calibri"/>
                <w:sz w:val="18"/>
                <w:szCs w:val="18"/>
              </w:rPr>
              <w:t xml:space="preserve">12 </w:t>
            </w:r>
            <w:r w:rsidRPr="00C367E2">
              <w:rPr>
                <w:rFonts w:ascii="Sylfaen" w:eastAsia="Times New Roman" w:hAnsi="Sylfaen" w:cs="Calibri"/>
                <w:sz w:val="18"/>
                <w:szCs w:val="18"/>
              </w:rPr>
              <w:t>თვის</w:t>
            </w:r>
            <w:r w:rsidRPr="00C367E2">
              <w:rPr>
                <w:rFonts w:ascii="Calibri" w:eastAsia="Times New Roman" w:hAnsi="Calibri" w:cs="Calibri"/>
                <w:sz w:val="18"/>
                <w:szCs w:val="18"/>
              </w:rPr>
              <w:t xml:space="preserve"> </w:t>
            </w:r>
            <w:r w:rsidRPr="00C367E2">
              <w:rPr>
                <w:rFonts w:ascii="Sylfaen" w:eastAsia="Times New Roman" w:hAnsi="Sylfaen" w:cs="Calibri"/>
                <w:sz w:val="18"/>
                <w:szCs w:val="18"/>
              </w:rPr>
              <w:t>ვადიანობის</w:t>
            </w:r>
            <w:r w:rsidRPr="00C367E2">
              <w:rPr>
                <w:rFonts w:ascii="Calibri" w:eastAsia="Times New Roman" w:hAnsi="Calibri" w:cs="Calibri"/>
                <w:sz w:val="18"/>
                <w:szCs w:val="18"/>
              </w:rPr>
              <w:t xml:space="preserve"> </w:t>
            </w:r>
            <w:r w:rsidRPr="00C367E2">
              <w:rPr>
                <w:rFonts w:ascii="Sylfaen" w:eastAsia="Times New Roman" w:hAnsi="Sylfaen" w:cs="Calibri"/>
                <w:sz w:val="18"/>
                <w:szCs w:val="18"/>
              </w:rPr>
              <w:t>სახაზინო</w:t>
            </w:r>
            <w:r w:rsidRPr="00C367E2">
              <w:rPr>
                <w:rFonts w:ascii="Calibri" w:eastAsia="Times New Roman" w:hAnsi="Calibri" w:cs="Calibri"/>
                <w:sz w:val="18"/>
                <w:szCs w:val="18"/>
              </w:rPr>
              <w:t xml:space="preserve"> </w:t>
            </w:r>
            <w:r w:rsidRPr="00C367E2">
              <w:rPr>
                <w:rFonts w:ascii="Sylfaen" w:eastAsia="Times New Roman" w:hAnsi="Sylfaen" w:cs="Calibri"/>
                <w:sz w:val="18"/>
                <w:szCs w:val="18"/>
              </w:rPr>
              <w:t>ვალდებულებები</w:t>
            </w:r>
          </w:p>
        </w:tc>
        <w:tc>
          <w:tcPr>
            <w:tcW w:w="1461" w:type="pct"/>
            <w:hideMark/>
          </w:tcPr>
          <w:p w:rsidR="0044178B" w:rsidRPr="00B57E95" w:rsidRDefault="0039166F" w:rsidP="00B57E95">
            <w:pPr>
              <w:jc w:val="center"/>
            </w:pPr>
            <w:r w:rsidRPr="00B57E95">
              <w:t>4</w:t>
            </w:r>
            <w:r w:rsidR="00B57E95" w:rsidRPr="00B57E95">
              <w:t>8</w:t>
            </w:r>
            <w:r w:rsidRPr="00B57E95">
              <w:t>0,000.0</w:t>
            </w:r>
          </w:p>
        </w:tc>
      </w:tr>
      <w:tr w:rsidR="0044178B" w:rsidRPr="00C367E2" w:rsidTr="00AD2AF0">
        <w:trPr>
          <w:trHeight w:val="245"/>
        </w:trPr>
        <w:tc>
          <w:tcPr>
            <w:tcW w:w="3539" w:type="pct"/>
            <w:noWrap/>
            <w:hideMark/>
          </w:tcPr>
          <w:p w:rsidR="0044178B" w:rsidRPr="00C367E2" w:rsidRDefault="0044178B" w:rsidP="00D62E87">
            <w:pPr>
              <w:rPr>
                <w:rFonts w:ascii="Calibri" w:eastAsia="Times New Roman" w:hAnsi="Calibri" w:cs="Calibri"/>
                <w:sz w:val="18"/>
                <w:szCs w:val="18"/>
              </w:rPr>
            </w:pPr>
            <w:r w:rsidRPr="00C367E2">
              <w:rPr>
                <w:rFonts w:ascii="Calibri" w:eastAsia="Times New Roman" w:hAnsi="Calibri" w:cs="Calibri"/>
                <w:sz w:val="18"/>
                <w:szCs w:val="18"/>
              </w:rPr>
              <w:t xml:space="preserve">2 </w:t>
            </w:r>
            <w:r w:rsidRPr="00C367E2">
              <w:rPr>
                <w:rFonts w:ascii="Sylfaen" w:eastAsia="Times New Roman" w:hAnsi="Sylfaen" w:cs="Calibri"/>
                <w:sz w:val="18"/>
                <w:szCs w:val="18"/>
              </w:rPr>
              <w:t>წლის</w:t>
            </w:r>
            <w:r w:rsidRPr="00C367E2">
              <w:rPr>
                <w:rFonts w:ascii="Calibri" w:eastAsia="Times New Roman" w:hAnsi="Calibri" w:cs="Calibri"/>
                <w:sz w:val="18"/>
                <w:szCs w:val="18"/>
              </w:rPr>
              <w:t xml:space="preserve"> </w:t>
            </w:r>
            <w:r w:rsidRPr="00C367E2">
              <w:rPr>
                <w:rFonts w:ascii="Sylfaen" w:eastAsia="Times New Roman" w:hAnsi="Sylfaen" w:cs="Calibri"/>
                <w:sz w:val="18"/>
                <w:szCs w:val="18"/>
              </w:rPr>
              <w:t>ვადიანობის</w:t>
            </w:r>
            <w:r w:rsidRPr="00C367E2">
              <w:rPr>
                <w:rFonts w:ascii="Calibri" w:eastAsia="Times New Roman" w:hAnsi="Calibri" w:cs="Calibri"/>
                <w:sz w:val="18"/>
                <w:szCs w:val="18"/>
              </w:rPr>
              <w:t xml:space="preserve"> </w:t>
            </w:r>
            <w:r w:rsidRPr="00C367E2">
              <w:rPr>
                <w:rFonts w:ascii="Sylfaen" w:eastAsia="Times New Roman" w:hAnsi="Sylfaen" w:cs="Calibri"/>
                <w:sz w:val="18"/>
                <w:szCs w:val="18"/>
              </w:rPr>
              <w:t>სახაზინო</w:t>
            </w:r>
            <w:r w:rsidRPr="00C367E2">
              <w:rPr>
                <w:rFonts w:ascii="Calibri" w:eastAsia="Times New Roman" w:hAnsi="Calibri" w:cs="Calibri"/>
                <w:sz w:val="18"/>
                <w:szCs w:val="18"/>
              </w:rPr>
              <w:t xml:space="preserve"> </w:t>
            </w:r>
            <w:r w:rsidRPr="00C367E2">
              <w:rPr>
                <w:rFonts w:ascii="Sylfaen" w:eastAsia="Times New Roman" w:hAnsi="Sylfaen" w:cs="Calibri"/>
                <w:sz w:val="18"/>
                <w:szCs w:val="18"/>
              </w:rPr>
              <w:t>ობლიგაციები</w:t>
            </w:r>
            <w:r w:rsidRPr="00C367E2">
              <w:rPr>
                <w:rFonts w:ascii="Calibri" w:eastAsia="Times New Roman" w:hAnsi="Calibri" w:cs="Calibri"/>
                <w:sz w:val="18"/>
                <w:szCs w:val="18"/>
              </w:rPr>
              <w:t xml:space="preserve"> </w:t>
            </w:r>
          </w:p>
        </w:tc>
        <w:tc>
          <w:tcPr>
            <w:tcW w:w="1461" w:type="pct"/>
            <w:hideMark/>
          </w:tcPr>
          <w:p w:rsidR="0044178B" w:rsidRPr="00B57E95" w:rsidRDefault="00B57E95" w:rsidP="00B57E95">
            <w:pPr>
              <w:jc w:val="center"/>
            </w:pPr>
            <w:r w:rsidRPr="00B57E95">
              <w:t>825</w:t>
            </w:r>
            <w:r w:rsidR="0039166F" w:rsidRPr="00B57E95">
              <w:t>,000.0</w:t>
            </w:r>
          </w:p>
        </w:tc>
      </w:tr>
      <w:tr w:rsidR="0044178B" w:rsidRPr="00C367E2" w:rsidTr="00AD2AF0">
        <w:trPr>
          <w:trHeight w:val="245"/>
        </w:trPr>
        <w:tc>
          <w:tcPr>
            <w:tcW w:w="3539" w:type="pct"/>
            <w:noWrap/>
            <w:hideMark/>
          </w:tcPr>
          <w:p w:rsidR="0044178B" w:rsidRPr="00C367E2" w:rsidRDefault="0044178B" w:rsidP="00D62E87">
            <w:pPr>
              <w:rPr>
                <w:rFonts w:ascii="Calibri" w:eastAsia="Times New Roman" w:hAnsi="Calibri" w:cs="Calibri"/>
                <w:sz w:val="18"/>
                <w:szCs w:val="18"/>
              </w:rPr>
            </w:pPr>
            <w:r w:rsidRPr="00C367E2">
              <w:rPr>
                <w:rFonts w:ascii="Calibri" w:eastAsia="Times New Roman" w:hAnsi="Calibri" w:cs="Calibri"/>
                <w:sz w:val="18"/>
                <w:szCs w:val="18"/>
              </w:rPr>
              <w:t xml:space="preserve">5 </w:t>
            </w:r>
            <w:r w:rsidRPr="00C367E2">
              <w:rPr>
                <w:rFonts w:ascii="Sylfaen" w:eastAsia="Times New Roman" w:hAnsi="Sylfaen" w:cs="Calibri"/>
                <w:sz w:val="18"/>
                <w:szCs w:val="18"/>
              </w:rPr>
              <w:t>წლის</w:t>
            </w:r>
            <w:r w:rsidRPr="00C367E2">
              <w:rPr>
                <w:rFonts w:ascii="Calibri" w:eastAsia="Times New Roman" w:hAnsi="Calibri" w:cs="Calibri"/>
                <w:sz w:val="18"/>
                <w:szCs w:val="18"/>
              </w:rPr>
              <w:t xml:space="preserve"> </w:t>
            </w:r>
            <w:r w:rsidRPr="00C367E2">
              <w:rPr>
                <w:rFonts w:ascii="Sylfaen" w:eastAsia="Times New Roman" w:hAnsi="Sylfaen" w:cs="Calibri"/>
                <w:sz w:val="18"/>
                <w:szCs w:val="18"/>
              </w:rPr>
              <w:t>ვადიანობის</w:t>
            </w:r>
            <w:r w:rsidRPr="00C367E2">
              <w:rPr>
                <w:rFonts w:ascii="Calibri" w:eastAsia="Times New Roman" w:hAnsi="Calibri" w:cs="Calibri"/>
                <w:sz w:val="18"/>
                <w:szCs w:val="18"/>
              </w:rPr>
              <w:t xml:space="preserve"> </w:t>
            </w:r>
            <w:r w:rsidRPr="00C367E2">
              <w:rPr>
                <w:rFonts w:ascii="Sylfaen" w:eastAsia="Times New Roman" w:hAnsi="Sylfaen" w:cs="Calibri"/>
                <w:sz w:val="18"/>
                <w:szCs w:val="18"/>
              </w:rPr>
              <w:t>სახაზინო</w:t>
            </w:r>
            <w:r w:rsidRPr="00C367E2">
              <w:rPr>
                <w:rFonts w:ascii="Calibri" w:eastAsia="Times New Roman" w:hAnsi="Calibri" w:cs="Calibri"/>
                <w:sz w:val="18"/>
                <w:szCs w:val="18"/>
              </w:rPr>
              <w:t xml:space="preserve"> </w:t>
            </w:r>
            <w:r w:rsidRPr="00C367E2">
              <w:rPr>
                <w:rFonts w:ascii="Sylfaen" w:eastAsia="Times New Roman" w:hAnsi="Sylfaen" w:cs="Calibri"/>
                <w:sz w:val="18"/>
                <w:szCs w:val="18"/>
              </w:rPr>
              <w:t>ობლიგაციები</w:t>
            </w:r>
          </w:p>
        </w:tc>
        <w:tc>
          <w:tcPr>
            <w:tcW w:w="1461" w:type="pct"/>
            <w:hideMark/>
          </w:tcPr>
          <w:p w:rsidR="0044178B" w:rsidRPr="00B57E95" w:rsidRDefault="00B57E95" w:rsidP="00B57E95">
            <w:pPr>
              <w:jc w:val="center"/>
            </w:pPr>
            <w:r w:rsidRPr="00B57E95">
              <w:t>1,05</w:t>
            </w:r>
            <w:r w:rsidR="0039166F" w:rsidRPr="00B57E95">
              <w:t>5,502.0</w:t>
            </w:r>
          </w:p>
        </w:tc>
      </w:tr>
      <w:tr w:rsidR="0044178B" w:rsidRPr="00C367E2" w:rsidTr="00AD2AF0">
        <w:trPr>
          <w:trHeight w:val="245"/>
        </w:trPr>
        <w:tc>
          <w:tcPr>
            <w:tcW w:w="3539" w:type="pct"/>
            <w:noWrap/>
            <w:hideMark/>
          </w:tcPr>
          <w:p w:rsidR="0044178B" w:rsidRPr="00C367E2" w:rsidRDefault="0044178B" w:rsidP="00D62E87">
            <w:pPr>
              <w:rPr>
                <w:rFonts w:ascii="Calibri" w:eastAsia="Times New Roman" w:hAnsi="Calibri" w:cs="Calibri"/>
                <w:sz w:val="18"/>
                <w:szCs w:val="18"/>
              </w:rPr>
            </w:pPr>
            <w:r w:rsidRPr="00C367E2">
              <w:rPr>
                <w:rFonts w:ascii="Calibri" w:eastAsia="Times New Roman" w:hAnsi="Calibri" w:cs="Calibri"/>
                <w:sz w:val="18"/>
                <w:szCs w:val="18"/>
              </w:rPr>
              <w:t xml:space="preserve">10 </w:t>
            </w:r>
            <w:r w:rsidRPr="00C367E2">
              <w:rPr>
                <w:rFonts w:ascii="Sylfaen" w:eastAsia="Times New Roman" w:hAnsi="Sylfaen" w:cs="Calibri"/>
                <w:sz w:val="18"/>
                <w:szCs w:val="18"/>
              </w:rPr>
              <w:t>წლის</w:t>
            </w:r>
            <w:r w:rsidRPr="00C367E2">
              <w:rPr>
                <w:rFonts w:ascii="Calibri" w:eastAsia="Times New Roman" w:hAnsi="Calibri" w:cs="Calibri"/>
                <w:sz w:val="18"/>
                <w:szCs w:val="18"/>
              </w:rPr>
              <w:t xml:space="preserve"> </w:t>
            </w:r>
            <w:r w:rsidRPr="00C367E2">
              <w:rPr>
                <w:rFonts w:ascii="Sylfaen" w:eastAsia="Times New Roman" w:hAnsi="Sylfaen" w:cs="Calibri"/>
                <w:sz w:val="18"/>
                <w:szCs w:val="18"/>
              </w:rPr>
              <w:t>ვადიანობის</w:t>
            </w:r>
            <w:r w:rsidRPr="00C367E2">
              <w:rPr>
                <w:rFonts w:ascii="Calibri" w:eastAsia="Times New Roman" w:hAnsi="Calibri" w:cs="Calibri"/>
                <w:sz w:val="18"/>
                <w:szCs w:val="18"/>
              </w:rPr>
              <w:t xml:space="preserve"> </w:t>
            </w:r>
            <w:r w:rsidRPr="00C367E2">
              <w:rPr>
                <w:rFonts w:ascii="Sylfaen" w:eastAsia="Times New Roman" w:hAnsi="Sylfaen" w:cs="Calibri"/>
                <w:sz w:val="18"/>
                <w:szCs w:val="18"/>
              </w:rPr>
              <w:t>სახაზინო</w:t>
            </w:r>
            <w:r w:rsidRPr="00C367E2">
              <w:rPr>
                <w:rFonts w:ascii="Calibri" w:eastAsia="Times New Roman" w:hAnsi="Calibri" w:cs="Calibri"/>
                <w:sz w:val="18"/>
                <w:szCs w:val="18"/>
              </w:rPr>
              <w:t xml:space="preserve"> </w:t>
            </w:r>
            <w:r w:rsidRPr="00C367E2">
              <w:rPr>
                <w:rFonts w:ascii="Sylfaen" w:eastAsia="Times New Roman" w:hAnsi="Sylfaen" w:cs="Calibri"/>
                <w:sz w:val="18"/>
                <w:szCs w:val="18"/>
              </w:rPr>
              <w:t>ობლიგაციები</w:t>
            </w:r>
          </w:p>
        </w:tc>
        <w:tc>
          <w:tcPr>
            <w:tcW w:w="1461" w:type="pct"/>
            <w:hideMark/>
          </w:tcPr>
          <w:p w:rsidR="0044178B" w:rsidRPr="00B57E95" w:rsidRDefault="0039166F" w:rsidP="00B57E95">
            <w:pPr>
              <w:jc w:val="center"/>
            </w:pPr>
            <w:r w:rsidRPr="00B57E95">
              <w:t>3</w:t>
            </w:r>
            <w:r w:rsidR="00B57E95" w:rsidRPr="00B57E95">
              <w:t>5</w:t>
            </w:r>
            <w:r w:rsidRPr="00B57E95">
              <w:t>2,520.0</w:t>
            </w:r>
          </w:p>
        </w:tc>
      </w:tr>
      <w:tr w:rsidR="0044178B" w:rsidRPr="00C367E2" w:rsidTr="00AD2AF0">
        <w:trPr>
          <w:trHeight w:val="327"/>
        </w:trPr>
        <w:tc>
          <w:tcPr>
            <w:tcW w:w="3539" w:type="pct"/>
            <w:hideMark/>
          </w:tcPr>
          <w:p w:rsidR="0044178B" w:rsidRPr="00B57E95" w:rsidRDefault="0044178B" w:rsidP="00D62E87">
            <w:pPr>
              <w:rPr>
                <w:rFonts w:ascii="Sylfaen" w:eastAsia="Times New Roman" w:hAnsi="Sylfaen" w:cs="Arial"/>
                <w:b/>
                <w:bCs/>
                <w:sz w:val="20"/>
                <w:szCs w:val="20"/>
              </w:rPr>
            </w:pPr>
            <w:r w:rsidRPr="00B57E95">
              <w:rPr>
                <w:rFonts w:ascii="Sylfaen" w:eastAsia="Times New Roman" w:hAnsi="Sylfaen" w:cs="Arial"/>
                <w:b/>
                <w:bCs/>
                <w:sz w:val="20"/>
                <w:szCs w:val="20"/>
              </w:rPr>
              <w:t>სხვა სახელმწიფო ფასიანი ქაღალდები</w:t>
            </w:r>
          </w:p>
        </w:tc>
        <w:tc>
          <w:tcPr>
            <w:tcW w:w="1461" w:type="pct"/>
          </w:tcPr>
          <w:p w:rsidR="0044178B" w:rsidRPr="00B57E95" w:rsidRDefault="0039166F" w:rsidP="00D62E87">
            <w:pPr>
              <w:jc w:val="center"/>
              <w:rPr>
                <w:b/>
              </w:rPr>
            </w:pPr>
            <w:r>
              <w:rPr>
                <w:b/>
              </w:rPr>
              <w:t>44</w:t>
            </w:r>
            <w:r w:rsidR="00E513A2" w:rsidRPr="00E513A2">
              <w:rPr>
                <w:b/>
              </w:rPr>
              <w:t>0</w:t>
            </w:r>
            <w:r w:rsidR="00E513A2">
              <w:rPr>
                <w:b/>
              </w:rPr>
              <w:t>,</w:t>
            </w:r>
            <w:r w:rsidR="00E513A2" w:rsidRPr="00E513A2">
              <w:rPr>
                <w:b/>
              </w:rPr>
              <w:t>846</w:t>
            </w:r>
            <w:r w:rsidR="00E513A2">
              <w:rPr>
                <w:b/>
              </w:rPr>
              <w:t>.0</w:t>
            </w:r>
          </w:p>
        </w:tc>
      </w:tr>
      <w:tr w:rsidR="0044178B" w:rsidRPr="00C367E2" w:rsidTr="00AD2AF0">
        <w:trPr>
          <w:trHeight w:val="270"/>
        </w:trPr>
        <w:tc>
          <w:tcPr>
            <w:tcW w:w="3539" w:type="pct"/>
            <w:hideMark/>
          </w:tcPr>
          <w:p w:rsidR="0044178B" w:rsidRPr="00C367E2" w:rsidRDefault="0044178B" w:rsidP="00D62E87">
            <w:pPr>
              <w:rPr>
                <w:rFonts w:ascii="Sylfaen" w:eastAsia="Times New Roman" w:hAnsi="Sylfaen" w:cs="Arial"/>
                <w:sz w:val="18"/>
                <w:szCs w:val="18"/>
              </w:rPr>
            </w:pPr>
            <w:r w:rsidRPr="00C367E2">
              <w:rPr>
                <w:rFonts w:ascii="Sylfaen" w:eastAsia="Times New Roman" w:hAnsi="Sylfaen" w:cs="Arial"/>
                <w:sz w:val="18"/>
                <w:szCs w:val="18"/>
              </w:rPr>
              <w:t>სახელმწიფო ობლიგაცია სებ-</w:t>
            </w:r>
            <w:r w:rsidRPr="00C367E2">
              <w:rPr>
                <w:rFonts w:ascii="Sylfaen" w:eastAsia="Times New Roman" w:hAnsi="Sylfaen" w:cs="Arial"/>
                <w:sz w:val="18"/>
                <w:szCs w:val="18"/>
                <w:lang w:val="ka-GE"/>
              </w:rPr>
              <w:t>ს</w:t>
            </w:r>
            <w:r w:rsidRPr="00C367E2">
              <w:rPr>
                <w:rFonts w:ascii="Sylfaen" w:eastAsia="Times New Roman" w:hAnsi="Sylfaen" w:cs="Arial"/>
                <w:sz w:val="18"/>
                <w:szCs w:val="18"/>
              </w:rPr>
              <w:t>თვის</w:t>
            </w:r>
          </w:p>
        </w:tc>
        <w:tc>
          <w:tcPr>
            <w:tcW w:w="1461" w:type="pct"/>
            <w:hideMark/>
          </w:tcPr>
          <w:p w:rsidR="0044178B" w:rsidRPr="00B57E95" w:rsidRDefault="0044178B" w:rsidP="00D62E87">
            <w:pPr>
              <w:jc w:val="center"/>
            </w:pPr>
            <w:r w:rsidRPr="003016D7">
              <w:t>280,846.0</w:t>
            </w:r>
          </w:p>
        </w:tc>
      </w:tr>
      <w:tr w:rsidR="0044178B" w:rsidRPr="00C367E2" w:rsidTr="00AD2AF0">
        <w:trPr>
          <w:trHeight w:val="270"/>
        </w:trPr>
        <w:tc>
          <w:tcPr>
            <w:tcW w:w="3539" w:type="pct"/>
            <w:hideMark/>
          </w:tcPr>
          <w:p w:rsidR="0044178B" w:rsidRPr="00C367E2" w:rsidRDefault="0044178B" w:rsidP="00D62E87">
            <w:pPr>
              <w:rPr>
                <w:rFonts w:ascii="Sylfaen" w:eastAsia="Times New Roman" w:hAnsi="Sylfaen" w:cs="Arial"/>
                <w:sz w:val="18"/>
                <w:szCs w:val="18"/>
              </w:rPr>
            </w:pPr>
            <w:r w:rsidRPr="00C367E2">
              <w:rPr>
                <w:rFonts w:ascii="Sylfaen" w:eastAsia="Times New Roman" w:hAnsi="Sylfaen" w:cs="Arial"/>
                <w:sz w:val="18"/>
                <w:szCs w:val="18"/>
              </w:rPr>
              <w:t>სახელმწიფო ობლიგაციები ღია ბაზრის ოპერაციებისთვის</w:t>
            </w:r>
          </w:p>
        </w:tc>
        <w:tc>
          <w:tcPr>
            <w:tcW w:w="1461" w:type="pct"/>
            <w:hideMark/>
          </w:tcPr>
          <w:p w:rsidR="0044178B" w:rsidRPr="00B57E95" w:rsidRDefault="0039166F" w:rsidP="00B57E95">
            <w:pPr>
              <w:jc w:val="center"/>
            </w:pPr>
            <w:r>
              <w:t>1</w:t>
            </w:r>
            <w:r w:rsidR="00B57E95" w:rsidRPr="00B57E95">
              <w:t>52</w:t>
            </w:r>
            <w:r w:rsidR="00E513A2">
              <w:t>,</w:t>
            </w:r>
            <w:r w:rsidR="00E513A2" w:rsidRPr="00E513A2">
              <w:t>000</w:t>
            </w:r>
            <w:r w:rsidR="00E513A2">
              <w:t>.0</w:t>
            </w:r>
          </w:p>
        </w:tc>
      </w:tr>
    </w:tbl>
    <w:p w:rsidR="00F26066" w:rsidRPr="00C367E2" w:rsidRDefault="00F26066" w:rsidP="00D62E87">
      <w:pPr>
        <w:autoSpaceDE w:val="0"/>
        <w:autoSpaceDN w:val="0"/>
        <w:adjustRightInd w:val="0"/>
        <w:spacing w:after="0" w:line="240" w:lineRule="auto"/>
        <w:ind w:left="7200"/>
        <w:jc w:val="both"/>
        <w:rPr>
          <w:rFonts w:ascii="Sylfaen" w:hAnsi="Sylfaen" w:cs="Sylfaen"/>
          <w:b/>
          <w:i/>
          <w:szCs w:val="18"/>
          <w:highlight w:val="green"/>
          <w:shd w:val="clear" w:color="auto" w:fill="FFFFFF"/>
        </w:rPr>
      </w:pPr>
    </w:p>
    <w:p w:rsidR="00EC701B" w:rsidRPr="00C367E2" w:rsidRDefault="00EC701B" w:rsidP="00D62E87">
      <w:pPr>
        <w:tabs>
          <w:tab w:val="left" w:pos="720"/>
        </w:tabs>
        <w:spacing w:after="0" w:line="240" w:lineRule="auto"/>
        <w:jc w:val="both"/>
        <w:rPr>
          <w:rFonts w:ascii="Sylfaen" w:hAnsi="Sylfaen" w:cs="Sylfaen"/>
          <w:lang w:val="ka-GE"/>
        </w:rPr>
      </w:pPr>
    </w:p>
    <w:p w:rsidR="00D57A95" w:rsidRDefault="00D57A95" w:rsidP="00D62E87">
      <w:pPr>
        <w:tabs>
          <w:tab w:val="left" w:pos="720"/>
        </w:tabs>
        <w:spacing w:after="0" w:line="240" w:lineRule="auto"/>
        <w:ind w:firstLine="540"/>
        <w:jc w:val="both"/>
        <w:rPr>
          <w:rFonts w:ascii="Sylfaen" w:hAnsi="Sylfaen" w:cs="Sylfaen"/>
          <w:lang w:val="ka-GE"/>
        </w:rPr>
      </w:pPr>
    </w:p>
    <w:p w:rsidR="005E0A52" w:rsidRPr="004464CC" w:rsidRDefault="00F26066" w:rsidP="00D62E87">
      <w:pPr>
        <w:tabs>
          <w:tab w:val="left" w:pos="720"/>
        </w:tabs>
        <w:spacing w:after="0" w:line="240" w:lineRule="auto"/>
        <w:ind w:firstLine="540"/>
        <w:jc w:val="both"/>
        <w:rPr>
          <w:rFonts w:ascii="Sylfaen" w:hAnsi="Sylfaen" w:cs="Sylfaen"/>
          <w:lang w:val="ka-GE"/>
        </w:rPr>
      </w:pPr>
      <w:r w:rsidRPr="004464CC">
        <w:rPr>
          <w:rFonts w:ascii="Sylfaen" w:hAnsi="Sylfaen" w:cs="Sylfaen"/>
          <w:lang w:val="ka-GE"/>
        </w:rPr>
        <w:t>201</w:t>
      </w:r>
      <w:r w:rsidR="0044178B">
        <w:rPr>
          <w:rFonts w:ascii="Sylfaen" w:hAnsi="Sylfaen" w:cs="Sylfaen"/>
          <w:lang w:val="ka-GE"/>
        </w:rPr>
        <w:t>8</w:t>
      </w:r>
      <w:r w:rsidRPr="004464CC">
        <w:rPr>
          <w:rFonts w:ascii="Sylfaen" w:hAnsi="Sylfaen" w:cs="Sylfaen"/>
          <w:lang w:val="ka-GE"/>
        </w:rPr>
        <w:t xml:space="preserve"> წლის </w:t>
      </w:r>
      <w:r w:rsidR="00B57E95">
        <w:rPr>
          <w:rFonts w:ascii="Sylfaen" w:hAnsi="Sylfaen" w:cs="Sylfaen"/>
          <w:szCs w:val="18"/>
          <w:shd w:val="clear" w:color="auto" w:fill="FFFFFF"/>
          <w:lang w:val="ka-GE"/>
        </w:rPr>
        <w:t>31</w:t>
      </w:r>
      <w:r w:rsidR="00581B0F" w:rsidRPr="00581B0F">
        <w:rPr>
          <w:rFonts w:ascii="Sylfaen" w:hAnsi="Sylfaen" w:cs="Sylfaen"/>
          <w:szCs w:val="18"/>
          <w:shd w:val="clear" w:color="auto" w:fill="FFFFFF"/>
        </w:rPr>
        <w:t xml:space="preserve"> </w:t>
      </w:r>
      <w:r w:rsidR="00B57E95">
        <w:rPr>
          <w:rFonts w:ascii="Sylfaen" w:hAnsi="Sylfaen" w:cs="Sylfaen"/>
          <w:szCs w:val="18"/>
          <w:shd w:val="clear" w:color="auto" w:fill="FFFFFF"/>
          <w:lang w:val="ka-GE"/>
        </w:rPr>
        <w:t>დეკემბრის</w:t>
      </w:r>
      <w:r w:rsidR="00581B0F" w:rsidRPr="00C367E2">
        <w:rPr>
          <w:rFonts w:ascii="Sylfaen" w:hAnsi="Sylfaen" w:cs="Sylfaen"/>
          <w:b/>
          <w:szCs w:val="18"/>
          <w:shd w:val="clear" w:color="auto" w:fill="FFFFFF"/>
          <w:lang w:val="ka-GE"/>
        </w:rPr>
        <w:t xml:space="preserve"> </w:t>
      </w:r>
      <w:r w:rsidRPr="004464CC">
        <w:rPr>
          <w:rFonts w:ascii="Sylfaen" w:hAnsi="Sylfaen" w:cs="Sylfaen"/>
          <w:lang w:val="ka-GE"/>
        </w:rPr>
        <w:t xml:space="preserve">მდგომარეობით, </w:t>
      </w:r>
      <w:r w:rsidR="005E0A52" w:rsidRPr="004464CC">
        <w:rPr>
          <w:rFonts w:ascii="Sylfaen" w:hAnsi="Sylfaen" w:cs="Sylfaen"/>
          <w:lang w:val="ka-GE"/>
        </w:rPr>
        <w:t xml:space="preserve">სახაზინო ვალდებულებების და სახაზინო ობლიგაციების გამოშვების შედეგად ბიუჯეტში შემოსულმა თანხამ შეადგინა </w:t>
      </w:r>
      <w:r w:rsidR="00B57E95" w:rsidRPr="00B57E95">
        <w:rPr>
          <w:rFonts w:ascii="Sylfaen" w:hAnsi="Sylfaen" w:cs="Sylfaen"/>
        </w:rPr>
        <w:t>1</w:t>
      </w:r>
      <w:r w:rsidR="00B57E95">
        <w:rPr>
          <w:rFonts w:ascii="Sylfaen" w:hAnsi="Sylfaen" w:cs="Sylfaen"/>
          <w:lang w:val="ka-GE"/>
        </w:rPr>
        <w:t>,</w:t>
      </w:r>
      <w:r w:rsidR="00B57E95" w:rsidRPr="00B57E95">
        <w:rPr>
          <w:rFonts w:ascii="Sylfaen" w:hAnsi="Sylfaen" w:cs="Sylfaen"/>
        </w:rPr>
        <w:t>638</w:t>
      </w:r>
      <w:r w:rsidR="00B57E95">
        <w:rPr>
          <w:rFonts w:ascii="Sylfaen" w:hAnsi="Sylfaen" w:cs="Sylfaen"/>
          <w:lang w:val="ka-GE"/>
        </w:rPr>
        <w:t>,</w:t>
      </w:r>
      <w:r w:rsidR="00B57E95" w:rsidRPr="00B57E95">
        <w:rPr>
          <w:rFonts w:ascii="Sylfaen" w:hAnsi="Sylfaen" w:cs="Sylfaen"/>
        </w:rPr>
        <w:t>539.</w:t>
      </w:r>
      <w:r w:rsidR="00B57E95">
        <w:rPr>
          <w:rFonts w:ascii="Sylfaen" w:hAnsi="Sylfaen" w:cs="Sylfaen"/>
          <w:lang w:val="ka-GE"/>
        </w:rPr>
        <w:t xml:space="preserve">2 </w:t>
      </w:r>
      <w:r w:rsidR="005E0A52" w:rsidRPr="004464CC">
        <w:rPr>
          <w:rFonts w:ascii="Sylfaen" w:hAnsi="Sylfaen" w:cs="Sylfaen"/>
          <w:lang w:val="ka-GE"/>
        </w:rPr>
        <w:t>ათასი ლარი,</w:t>
      </w:r>
      <w:r w:rsidR="00746294" w:rsidRPr="004464CC">
        <w:rPr>
          <w:rFonts w:ascii="Sylfaen" w:hAnsi="Sylfaen" w:cs="Sylfaen"/>
          <w:lang w:val="ka-GE"/>
        </w:rPr>
        <w:t xml:space="preserve"> </w:t>
      </w:r>
      <w:r w:rsidRPr="004464CC">
        <w:rPr>
          <w:rFonts w:ascii="Sylfaen" w:hAnsi="Sylfaen" w:cs="Sylfaen"/>
          <w:lang w:val="ka-GE"/>
        </w:rPr>
        <w:t>ძირითადი თანხის დაფარვა</w:t>
      </w:r>
      <w:r w:rsidR="005E0A52" w:rsidRPr="004464CC">
        <w:rPr>
          <w:rFonts w:ascii="Sylfaen" w:hAnsi="Sylfaen" w:cs="Sylfaen"/>
          <w:lang w:val="ka-GE"/>
        </w:rPr>
        <w:t>მ</w:t>
      </w:r>
      <w:r w:rsidRPr="004464CC">
        <w:rPr>
          <w:rFonts w:ascii="Sylfaen" w:hAnsi="Sylfaen" w:cs="Sylfaen"/>
          <w:lang w:val="ka-GE"/>
        </w:rPr>
        <w:t xml:space="preserve"> </w:t>
      </w:r>
      <w:r w:rsidR="005E0A52" w:rsidRPr="004464CC">
        <w:rPr>
          <w:rFonts w:ascii="Sylfaen" w:hAnsi="Sylfaen" w:cs="Sylfaen"/>
          <w:lang w:val="ka-GE"/>
        </w:rPr>
        <w:t>კი</w:t>
      </w:r>
      <w:r w:rsidR="001F3BCB" w:rsidRPr="004464CC">
        <w:rPr>
          <w:rFonts w:ascii="Sylfaen" w:hAnsi="Sylfaen" w:cs="Sylfaen"/>
        </w:rPr>
        <w:t xml:space="preserve"> </w:t>
      </w:r>
      <w:r w:rsidR="00B57E95" w:rsidRPr="00B57E95">
        <w:rPr>
          <w:rFonts w:ascii="Sylfaen" w:hAnsi="Sylfaen" w:cs="Sylfaen"/>
        </w:rPr>
        <w:t>1</w:t>
      </w:r>
      <w:r w:rsidR="00B57E95">
        <w:rPr>
          <w:rFonts w:ascii="Sylfaen" w:hAnsi="Sylfaen" w:cs="Sylfaen"/>
          <w:lang w:val="ka-GE"/>
        </w:rPr>
        <w:t>,</w:t>
      </w:r>
      <w:r w:rsidR="00B57E95" w:rsidRPr="00B57E95">
        <w:rPr>
          <w:rFonts w:ascii="Sylfaen" w:hAnsi="Sylfaen" w:cs="Sylfaen"/>
        </w:rPr>
        <w:t>216</w:t>
      </w:r>
      <w:r w:rsidR="00B57E95">
        <w:rPr>
          <w:rFonts w:ascii="Sylfaen" w:hAnsi="Sylfaen" w:cs="Sylfaen"/>
          <w:lang w:val="ka-GE"/>
        </w:rPr>
        <w:t>,</w:t>
      </w:r>
      <w:r w:rsidR="00B57E95" w:rsidRPr="00B57E95">
        <w:rPr>
          <w:rFonts w:ascii="Sylfaen" w:hAnsi="Sylfaen" w:cs="Sylfaen"/>
        </w:rPr>
        <w:t>229.</w:t>
      </w:r>
      <w:r w:rsidR="00B57E95">
        <w:rPr>
          <w:rFonts w:ascii="Sylfaen" w:hAnsi="Sylfaen" w:cs="Sylfaen"/>
          <w:lang w:val="ka-GE"/>
        </w:rPr>
        <w:t xml:space="preserve">8 </w:t>
      </w:r>
      <w:r w:rsidRPr="004464CC">
        <w:rPr>
          <w:rFonts w:ascii="Sylfaen" w:hAnsi="Sylfaen" w:cs="Sylfaen"/>
          <w:lang w:val="ka-GE"/>
        </w:rPr>
        <w:t>ათასი ლარი</w:t>
      </w:r>
      <w:r w:rsidR="00746294" w:rsidRPr="004464CC">
        <w:rPr>
          <w:rFonts w:ascii="Sylfaen" w:hAnsi="Sylfaen" w:cs="Sylfaen"/>
          <w:lang w:val="ka-GE"/>
        </w:rPr>
        <w:t xml:space="preserve">. </w:t>
      </w:r>
      <w:r w:rsidR="005E0A52" w:rsidRPr="004464CC">
        <w:rPr>
          <w:rFonts w:ascii="Sylfaen" w:hAnsi="Sylfaen" w:cs="Sylfaen"/>
          <w:lang w:val="ka-GE"/>
        </w:rPr>
        <w:t>შესაბამისად</w:t>
      </w:r>
      <w:r w:rsidR="001B2633" w:rsidRPr="004464CC">
        <w:rPr>
          <w:rFonts w:ascii="Sylfaen" w:hAnsi="Sylfaen" w:cs="Sylfaen"/>
        </w:rPr>
        <w:t>,</w:t>
      </w:r>
      <w:r w:rsidR="005E0A52" w:rsidRPr="004464CC">
        <w:rPr>
          <w:rFonts w:ascii="Sylfaen" w:hAnsi="Sylfaen" w:cs="Sylfaen"/>
          <w:szCs w:val="21"/>
          <w:shd w:val="clear" w:color="auto" w:fill="FFFFFF"/>
          <w:lang w:val="ka-GE"/>
        </w:rPr>
        <w:t xml:space="preserve"> ვალდებულებების </w:t>
      </w:r>
      <w:r w:rsidR="00FB7087">
        <w:rPr>
          <w:rFonts w:ascii="Sylfaen" w:hAnsi="Sylfaen" w:cs="Sylfaen"/>
          <w:szCs w:val="21"/>
          <w:shd w:val="clear" w:color="auto" w:fill="FFFFFF"/>
          <w:lang w:val="ka-GE"/>
        </w:rPr>
        <w:t>ზრდა</w:t>
      </w:r>
      <w:r w:rsidR="0044178B" w:rsidRPr="004464CC">
        <w:rPr>
          <w:rFonts w:ascii="Sylfaen" w:hAnsi="Sylfaen" w:cs="Sylfaen"/>
          <w:lang w:val="ka-GE"/>
        </w:rPr>
        <w:t xml:space="preserve"> </w:t>
      </w:r>
      <w:r w:rsidR="00B57E95" w:rsidRPr="00B57E95">
        <w:rPr>
          <w:rFonts w:ascii="Sylfaen" w:hAnsi="Sylfaen" w:cs="Sylfaen"/>
          <w:lang w:val="ka-GE"/>
        </w:rPr>
        <w:t>422</w:t>
      </w:r>
      <w:r w:rsidR="00B57E95">
        <w:rPr>
          <w:rFonts w:ascii="Sylfaen" w:hAnsi="Sylfaen" w:cs="Sylfaen"/>
          <w:lang w:val="ka-GE"/>
        </w:rPr>
        <w:t>,</w:t>
      </w:r>
      <w:r w:rsidR="00B57E95" w:rsidRPr="00B57E95">
        <w:rPr>
          <w:rFonts w:ascii="Sylfaen" w:hAnsi="Sylfaen" w:cs="Sylfaen"/>
          <w:lang w:val="ka-GE"/>
        </w:rPr>
        <w:t>309.</w:t>
      </w:r>
      <w:r w:rsidR="00B57E95">
        <w:rPr>
          <w:rFonts w:ascii="Sylfaen" w:hAnsi="Sylfaen" w:cs="Sylfaen"/>
          <w:lang w:val="ka-GE"/>
        </w:rPr>
        <w:t>4</w:t>
      </w:r>
      <w:r w:rsidR="000E5F6B">
        <w:rPr>
          <w:rFonts w:ascii="Sylfaen" w:hAnsi="Sylfaen" w:cs="Sylfaen"/>
          <w:lang w:val="ka-GE"/>
        </w:rPr>
        <w:t xml:space="preserve"> </w:t>
      </w:r>
      <w:r w:rsidR="005E0A52" w:rsidRPr="004464CC">
        <w:rPr>
          <w:rFonts w:ascii="Sylfaen" w:hAnsi="Sylfaen" w:cs="Sylfaen"/>
          <w:lang w:val="ka-GE"/>
        </w:rPr>
        <w:t>ათას</w:t>
      </w:r>
      <w:r w:rsidR="00746294" w:rsidRPr="004464CC">
        <w:rPr>
          <w:rFonts w:ascii="Sylfaen" w:hAnsi="Sylfaen" w:cs="Sylfaen"/>
          <w:lang w:val="ka-GE"/>
        </w:rPr>
        <w:t>ი</w:t>
      </w:r>
      <w:r w:rsidR="005E0A52" w:rsidRPr="004464CC">
        <w:rPr>
          <w:rFonts w:ascii="Sylfaen" w:hAnsi="Sylfaen" w:cs="Sylfaen"/>
          <w:lang w:val="ka-GE"/>
        </w:rPr>
        <w:t xml:space="preserve"> ლარით განისაზღვრა.</w:t>
      </w:r>
    </w:p>
    <w:p w:rsidR="00F26066" w:rsidRPr="009531BC" w:rsidRDefault="005E0A52" w:rsidP="00D62E87">
      <w:pPr>
        <w:tabs>
          <w:tab w:val="left" w:pos="720"/>
        </w:tabs>
        <w:spacing w:after="0" w:line="240" w:lineRule="auto"/>
        <w:ind w:firstLine="540"/>
        <w:jc w:val="both"/>
        <w:rPr>
          <w:rFonts w:ascii="Sylfaen" w:hAnsi="Sylfaen" w:cs="Sylfaen"/>
          <w:lang w:val="ka-GE"/>
        </w:rPr>
      </w:pPr>
      <w:r w:rsidRPr="004464CC">
        <w:rPr>
          <w:rFonts w:ascii="Sylfaen" w:hAnsi="Sylfaen" w:cs="Sylfaen"/>
          <w:lang w:val="ka-GE"/>
        </w:rPr>
        <w:t>საანგარიშო პერიოდში განხორციელდა</w:t>
      </w:r>
      <w:r w:rsidR="00F26066" w:rsidRPr="004464CC">
        <w:rPr>
          <w:rFonts w:ascii="Sylfaen" w:hAnsi="Sylfaen" w:cs="Sylfaen"/>
          <w:lang w:val="ka-GE"/>
        </w:rPr>
        <w:t xml:space="preserve"> სახელმწიფო ობლიგაციების ძირითადი თანხის დაფარვა (სებ-ის მიმართ ვალი) </w:t>
      </w:r>
      <w:r w:rsidR="00B57E95">
        <w:rPr>
          <w:rFonts w:ascii="Sylfaen" w:hAnsi="Sylfaen" w:cs="Sylfaen"/>
          <w:lang w:val="ka-GE"/>
        </w:rPr>
        <w:t>35</w:t>
      </w:r>
      <w:r w:rsidR="00F26066" w:rsidRPr="00FB7087">
        <w:rPr>
          <w:rFonts w:ascii="Sylfaen" w:hAnsi="Sylfaen" w:cs="Sylfaen"/>
          <w:lang w:val="ka-GE"/>
        </w:rPr>
        <w:t>,000.0 ათასი</w:t>
      </w:r>
      <w:r w:rsidR="00F26066" w:rsidRPr="004464CC">
        <w:rPr>
          <w:rFonts w:ascii="Sylfaen" w:hAnsi="Sylfaen" w:cs="Sylfaen"/>
          <w:lang w:val="ka-GE"/>
        </w:rPr>
        <w:t xml:space="preserve"> ლარის ოდენობით, საქართველოს მთავრობის და საქართველოს ეროვნული ბანკის 2006 წლის 15 მაისის „საქართველოს მთავრობის საქართველოს ეროვნული ბანკისადმი დავალიანების დაფარვის ღონისძიებების შესახებ“</w:t>
      </w:r>
      <w:r w:rsidR="00F26066" w:rsidRPr="009531BC">
        <w:rPr>
          <w:rFonts w:ascii="Sylfaen" w:hAnsi="Sylfaen" w:cs="Sylfaen"/>
          <w:lang w:val="ka-GE"/>
        </w:rPr>
        <w:t xml:space="preserve"> 2006 წლის 20 მარტის შეთანხმებაში ცვლილებების შეტანის თაობაზე“ შეთანხმების შესაბამისად. </w:t>
      </w:r>
    </w:p>
    <w:p w:rsidR="00F26066" w:rsidRPr="00C367E2" w:rsidRDefault="00F26066" w:rsidP="00D62E87">
      <w:pPr>
        <w:tabs>
          <w:tab w:val="left" w:pos="720"/>
        </w:tabs>
        <w:spacing w:after="0" w:line="240" w:lineRule="auto"/>
        <w:jc w:val="both"/>
        <w:rPr>
          <w:rFonts w:ascii="Sylfaen" w:hAnsi="Sylfaen" w:cs="Sylfaen"/>
          <w:szCs w:val="21"/>
          <w:shd w:val="clear" w:color="auto" w:fill="FFFFFF"/>
          <w:lang w:val="ka-GE"/>
        </w:rPr>
      </w:pPr>
      <w:r w:rsidRPr="009531BC">
        <w:rPr>
          <w:rFonts w:ascii="Sylfaen" w:hAnsi="Sylfaen" w:cs="Sylfaen"/>
          <w:lang w:val="ka-GE"/>
        </w:rPr>
        <w:tab/>
      </w:r>
    </w:p>
    <w:p w:rsidR="00A8306F" w:rsidRDefault="00A8306F">
      <w:pPr>
        <w:rPr>
          <w:rFonts w:ascii="Sylfaen" w:hAnsi="Sylfaen"/>
          <w:b/>
          <w:lang w:val="ka-GE"/>
        </w:rPr>
      </w:pPr>
      <w:r>
        <w:rPr>
          <w:rFonts w:ascii="Sylfaen" w:hAnsi="Sylfaen"/>
          <w:b/>
          <w:lang w:val="ka-GE"/>
        </w:rPr>
        <w:br w:type="page"/>
      </w:r>
    </w:p>
    <w:p w:rsidR="00F6697A" w:rsidRDefault="000340AB" w:rsidP="00D62E87">
      <w:pPr>
        <w:spacing w:after="0" w:line="240" w:lineRule="auto"/>
        <w:jc w:val="center"/>
        <w:rPr>
          <w:rFonts w:ascii="Sylfaen" w:hAnsi="Sylfaen"/>
          <w:b/>
          <w:lang w:val="ka-GE"/>
        </w:rPr>
      </w:pPr>
      <w:r w:rsidRPr="00B4160B">
        <w:rPr>
          <w:rFonts w:ascii="Sylfaen" w:hAnsi="Sylfaen"/>
          <w:b/>
          <w:lang w:val="ka-GE"/>
        </w:rPr>
        <w:lastRenderedPageBreak/>
        <w:t>სახელმწიფო ვალის</w:t>
      </w:r>
      <w:r>
        <w:rPr>
          <w:rFonts w:ascii="Sylfaen" w:hAnsi="Sylfaen"/>
          <w:b/>
          <w:lang w:val="ka-GE"/>
        </w:rPr>
        <w:t xml:space="preserve"> </w:t>
      </w:r>
      <w:r w:rsidR="0032795B">
        <w:rPr>
          <w:rFonts w:ascii="Sylfaen" w:hAnsi="Sylfaen"/>
          <w:b/>
          <w:lang w:val="ka-GE"/>
        </w:rPr>
        <w:t>ნაშთი</w:t>
      </w:r>
      <w:r w:rsidR="0032795B" w:rsidRPr="00B4160B">
        <w:rPr>
          <w:rFonts w:ascii="Sylfaen" w:hAnsi="Sylfaen"/>
          <w:b/>
          <w:lang w:val="ka-GE"/>
        </w:rPr>
        <w:t xml:space="preserve"> </w:t>
      </w:r>
      <w:r w:rsidR="001A397F" w:rsidRPr="00B4160B">
        <w:rPr>
          <w:rFonts w:ascii="Sylfaen" w:hAnsi="Sylfaen"/>
          <w:b/>
          <w:lang w:val="ka-GE"/>
        </w:rPr>
        <w:t>201</w:t>
      </w:r>
      <w:r w:rsidR="00861F1F">
        <w:rPr>
          <w:rFonts w:ascii="Sylfaen" w:hAnsi="Sylfaen"/>
          <w:b/>
        </w:rPr>
        <w:t>8</w:t>
      </w:r>
      <w:r w:rsidR="001A397F" w:rsidRPr="00B4160B">
        <w:rPr>
          <w:rFonts w:ascii="Sylfaen" w:hAnsi="Sylfaen"/>
          <w:b/>
          <w:lang w:val="ka-GE"/>
        </w:rPr>
        <w:t xml:space="preserve"> </w:t>
      </w:r>
      <w:r w:rsidRPr="00B4160B">
        <w:rPr>
          <w:rFonts w:ascii="Sylfaen" w:hAnsi="Sylfaen"/>
          <w:b/>
          <w:lang w:val="ka-GE"/>
        </w:rPr>
        <w:t xml:space="preserve">წლის </w:t>
      </w:r>
      <w:r w:rsidR="00FA187E">
        <w:rPr>
          <w:rFonts w:ascii="Sylfaen" w:hAnsi="Sylfaen"/>
          <w:b/>
          <w:lang w:val="ka-GE"/>
        </w:rPr>
        <w:t>3</w:t>
      </w:r>
      <w:r w:rsidR="00A8306F">
        <w:rPr>
          <w:rFonts w:ascii="Sylfaen" w:hAnsi="Sylfaen"/>
          <w:b/>
          <w:lang w:val="ka-GE"/>
        </w:rPr>
        <w:t>1</w:t>
      </w:r>
      <w:r w:rsidR="00FA187E">
        <w:rPr>
          <w:rFonts w:ascii="Sylfaen" w:hAnsi="Sylfaen"/>
          <w:b/>
          <w:lang w:val="ka-GE"/>
        </w:rPr>
        <w:t xml:space="preserve"> </w:t>
      </w:r>
      <w:r w:rsidR="00A8306F">
        <w:rPr>
          <w:rFonts w:ascii="Sylfaen" w:hAnsi="Sylfaen"/>
          <w:b/>
          <w:lang w:val="ka-GE"/>
        </w:rPr>
        <w:t>დეკემბრის</w:t>
      </w:r>
      <w:r w:rsidR="00861F1F">
        <w:rPr>
          <w:rFonts w:ascii="Sylfaen" w:hAnsi="Sylfaen"/>
          <w:b/>
          <w:lang w:val="ka-GE"/>
        </w:rPr>
        <w:t xml:space="preserve"> </w:t>
      </w:r>
      <w:r>
        <w:rPr>
          <w:rFonts w:ascii="Sylfaen" w:hAnsi="Sylfaen"/>
          <w:b/>
          <w:lang w:val="ka-GE"/>
        </w:rPr>
        <w:t>მდგომარეობით</w:t>
      </w:r>
      <w:r w:rsidR="00401A15">
        <w:rPr>
          <w:rStyle w:val="FootnoteReference"/>
          <w:rFonts w:ascii="Sylfaen" w:hAnsi="Sylfaen"/>
          <w:b/>
          <w:lang w:val="ka-GE"/>
        </w:rPr>
        <w:footnoteReference w:id="1"/>
      </w:r>
    </w:p>
    <w:p w:rsidR="007C3D31" w:rsidRDefault="007C3D31" w:rsidP="00D62E87">
      <w:pPr>
        <w:spacing w:after="0" w:line="240" w:lineRule="auto"/>
        <w:jc w:val="center"/>
        <w:rPr>
          <w:rFonts w:ascii="Sylfaen" w:hAnsi="Sylfaen"/>
          <w:b/>
          <w:lang w:val="ka-GE"/>
        </w:rPr>
      </w:pPr>
    </w:p>
    <w:tbl>
      <w:tblPr>
        <w:tblW w:w="4994" w:type="pct"/>
        <w:tblLook w:val="04A0" w:firstRow="1" w:lastRow="0" w:firstColumn="1" w:lastColumn="0" w:noHBand="0" w:noVBand="1"/>
      </w:tblPr>
      <w:tblGrid>
        <w:gridCol w:w="8210"/>
        <w:gridCol w:w="2567"/>
      </w:tblGrid>
      <w:tr w:rsidR="007C3D31" w:rsidRPr="007C3D31" w:rsidTr="005C1518">
        <w:trPr>
          <w:trHeight w:val="498"/>
        </w:trPr>
        <w:tc>
          <w:tcPr>
            <w:tcW w:w="38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jc w:val="center"/>
              <w:rPr>
                <w:rFonts w:ascii="Sylfaen" w:eastAsia="Times New Roman" w:hAnsi="Sylfaen" w:cs="Calibri"/>
                <w:b/>
                <w:bCs/>
                <w:color w:val="000000"/>
                <w:sz w:val="20"/>
                <w:szCs w:val="20"/>
              </w:rPr>
            </w:pPr>
            <w:r w:rsidRPr="007C3D31">
              <w:rPr>
                <w:rFonts w:ascii="Sylfaen" w:eastAsia="Times New Roman" w:hAnsi="Sylfaen" w:cs="Calibri"/>
                <w:b/>
                <w:bCs/>
                <w:color w:val="000000"/>
                <w:sz w:val="20"/>
                <w:szCs w:val="20"/>
              </w:rPr>
              <w:t xml:space="preserve">კრედიტორი </w:t>
            </w:r>
          </w:p>
        </w:tc>
        <w:tc>
          <w:tcPr>
            <w:tcW w:w="1191" w:type="pct"/>
            <w:tcBorders>
              <w:top w:val="single" w:sz="4" w:space="0" w:color="auto"/>
              <w:left w:val="nil"/>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jc w:val="center"/>
              <w:rPr>
                <w:rFonts w:ascii="Calibri" w:eastAsia="Times New Roman" w:hAnsi="Calibri" w:cs="Calibri"/>
                <w:b/>
                <w:bCs/>
                <w:color w:val="000000"/>
                <w:sz w:val="20"/>
                <w:szCs w:val="20"/>
              </w:rPr>
            </w:pPr>
            <w:r w:rsidRPr="007C3D31">
              <w:rPr>
                <w:rFonts w:ascii="Calibri" w:eastAsia="Times New Roman" w:hAnsi="Calibri" w:cs="Calibri"/>
                <w:b/>
                <w:bCs/>
                <w:color w:val="000000"/>
                <w:sz w:val="20"/>
                <w:szCs w:val="20"/>
                <w:lang w:val="ru-RU"/>
              </w:rPr>
              <w:t xml:space="preserve"> </w:t>
            </w:r>
            <w:r w:rsidRPr="007C3D31">
              <w:rPr>
                <w:rFonts w:ascii="Sylfaen" w:eastAsia="Times New Roman" w:hAnsi="Sylfaen" w:cs="Calibri"/>
                <w:b/>
                <w:bCs/>
                <w:color w:val="000000"/>
                <w:sz w:val="20"/>
                <w:szCs w:val="20"/>
                <w:lang w:val="ru-RU"/>
              </w:rPr>
              <w:t>ნაშთი</w:t>
            </w:r>
            <w:r w:rsidRPr="007C3D31">
              <w:rPr>
                <w:rFonts w:ascii="Calibri" w:eastAsia="Times New Roman" w:hAnsi="Calibri" w:cs="Calibri"/>
                <w:b/>
                <w:bCs/>
                <w:color w:val="000000"/>
                <w:sz w:val="20"/>
                <w:szCs w:val="20"/>
                <w:lang w:val="ru-RU"/>
              </w:rPr>
              <w:t xml:space="preserve"> 31.12.2018</w:t>
            </w:r>
            <w:r w:rsidRPr="007C3D31">
              <w:rPr>
                <w:rFonts w:ascii="Calibri" w:eastAsia="Times New Roman" w:hAnsi="Calibri" w:cs="Calibri"/>
                <w:b/>
                <w:bCs/>
                <w:color w:val="000000"/>
                <w:sz w:val="20"/>
                <w:szCs w:val="20"/>
                <w:lang w:val="ru-RU"/>
              </w:rPr>
              <w:br/>
            </w:r>
            <w:r w:rsidRPr="007C3D31">
              <w:rPr>
                <w:rFonts w:ascii="Sylfaen" w:eastAsia="Times New Roman" w:hAnsi="Sylfaen" w:cs="Sylfaen"/>
                <w:b/>
                <w:bCs/>
                <w:color w:val="000000"/>
                <w:sz w:val="20"/>
                <w:szCs w:val="20"/>
                <w:lang w:val="ru-RU"/>
              </w:rPr>
              <w:t>მდგომარეობით</w:t>
            </w:r>
            <w:r w:rsidRPr="007C3D31">
              <w:rPr>
                <w:rFonts w:ascii="Calibri" w:eastAsia="Times New Roman" w:hAnsi="Calibri" w:cs="Calibri"/>
                <w:b/>
                <w:bCs/>
                <w:color w:val="000000"/>
                <w:sz w:val="20"/>
                <w:szCs w:val="20"/>
                <w:lang w:val="ru-RU"/>
              </w:rPr>
              <w:t xml:space="preserve">  </w:t>
            </w:r>
            <w:r w:rsidRPr="007C3D31">
              <w:rPr>
                <w:rFonts w:ascii="Calibri" w:eastAsia="Times New Roman" w:hAnsi="Calibri" w:cs="Calibri"/>
                <w:b/>
                <w:bCs/>
                <w:color w:val="000000"/>
                <w:sz w:val="20"/>
                <w:szCs w:val="20"/>
                <w:lang w:val="ru-RU"/>
              </w:rPr>
              <w:br/>
              <w:t xml:space="preserve"> </w:t>
            </w:r>
          </w:p>
        </w:tc>
      </w:tr>
      <w:tr w:rsidR="007C3D31" w:rsidRPr="007C3D31" w:rsidTr="005C1518">
        <w:trPr>
          <w:trHeight w:val="299"/>
        </w:trPr>
        <w:tc>
          <w:tcPr>
            <w:tcW w:w="3809" w:type="pct"/>
            <w:tcBorders>
              <w:top w:val="nil"/>
              <w:left w:val="single" w:sz="4" w:space="0" w:color="auto"/>
              <w:bottom w:val="single" w:sz="4" w:space="0" w:color="auto"/>
              <w:right w:val="single" w:sz="4" w:space="0" w:color="auto"/>
            </w:tcBorders>
            <w:shd w:val="clear" w:color="000000" w:fill="D9E1F2"/>
            <w:vAlign w:val="center"/>
            <w:hideMark/>
          </w:tcPr>
          <w:p w:rsidR="007C3D31" w:rsidRPr="007C3D31" w:rsidRDefault="007C3D31" w:rsidP="007C3D31">
            <w:pPr>
              <w:spacing w:after="0" w:line="240" w:lineRule="auto"/>
              <w:rPr>
                <w:rFonts w:ascii="Sylfaen" w:eastAsia="Times New Roman" w:hAnsi="Sylfaen" w:cs="Calibri"/>
                <w:b/>
                <w:bCs/>
                <w:color w:val="000000"/>
                <w:sz w:val="20"/>
                <w:szCs w:val="20"/>
              </w:rPr>
            </w:pPr>
            <w:r w:rsidRPr="007C3D31">
              <w:rPr>
                <w:rFonts w:ascii="Sylfaen" w:eastAsia="Times New Roman" w:hAnsi="Sylfaen" w:cs="Calibri"/>
                <w:b/>
                <w:bCs/>
                <w:color w:val="000000"/>
                <w:sz w:val="20"/>
                <w:szCs w:val="20"/>
              </w:rPr>
              <w:t>სულ</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სახელმწიფოს</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მიერ</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და</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სახელმწიფოს</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გარანტიით</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აღებული</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საგარეო</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ვალი</w:t>
            </w:r>
          </w:p>
        </w:tc>
        <w:tc>
          <w:tcPr>
            <w:tcW w:w="1191" w:type="pct"/>
            <w:tcBorders>
              <w:top w:val="nil"/>
              <w:left w:val="nil"/>
              <w:bottom w:val="single" w:sz="4" w:space="0" w:color="auto"/>
              <w:right w:val="single" w:sz="4" w:space="0" w:color="auto"/>
            </w:tcBorders>
            <w:shd w:val="clear" w:color="000000" w:fill="D9E1F2"/>
            <w:vAlign w:val="center"/>
            <w:hideMark/>
          </w:tcPr>
          <w:p w:rsidR="007C3D31" w:rsidRPr="007C3D31" w:rsidRDefault="007C3D31" w:rsidP="007C3D31">
            <w:pPr>
              <w:spacing w:after="0" w:line="240" w:lineRule="auto"/>
              <w:jc w:val="right"/>
              <w:rPr>
                <w:rFonts w:ascii="Arial" w:eastAsia="Times New Roman" w:hAnsi="Arial" w:cs="Arial"/>
                <w:b/>
                <w:bCs/>
                <w:color w:val="000000"/>
                <w:sz w:val="20"/>
                <w:szCs w:val="20"/>
              </w:rPr>
            </w:pPr>
            <w:r w:rsidRPr="007C3D31">
              <w:rPr>
                <w:rFonts w:ascii="Arial" w:eastAsia="Times New Roman" w:hAnsi="Arial" w:cs="Arial"/>
                <w:b/>
                <w:bCs/>
                <w:color w:val="000000"/>
                <w:sz w:val="20"/>
                <w:szCs w:val="20"/>
                <w:lang w:val="ru-RU"/>
              </w:rPr>
              <w:t>14,544,890.2</w:t>
            </w:r>
          </w:p>
        </w:tc>
      </w:tr>
      <w:tr w:rsidR="007C3D31" w:rsidRPr="007C3D31" w:rsidTr="005C1518">
        <w:trPr>
          <w:trHeight w:val="299"/>
        </w:trPr>
        <w:tc>
          <w:tcPr>
            <w:tcW w:w="3809" w:type="pct"/>
            <w:tcBorders>
              <w:top w:val="nil"/>
              <w:left w:val="single" w:sz="4" w:space="0" w:color="auto"/>
              <w:bottom w:val="single" w:sz="4" w:space="0" w:color="auto"/>
              <w:right w:val="single" w:sz="4" w:space="0" w:color="auto"/>
            </w:tcBorders>
            <w:shd w:val="clear" w:color="000000" w:fill="E2EFDA"/>
            <w:vAlign w:val="center"/>
            <w:hideMark/>
          </w:tcPr>
          <w:p w:rsidR="007C3D31" w:rsidRPr="007C3D31" w:rsidRDefault="007C3D31" w:rsidP="007C3D31">
            <w:pPr>
              <w:spacing w:after="0" w:line="240" w:lineRule="auto"/>
              <w:rPr>
                <w:rFonts w:ascii="Sylfaen" w:eastAsia="Times New Roman" w:hAnsi="Sylfaen" w:cs="Calibri"/>
                <w:b/>
                <w:bCs/>
                <w:color w:val="000000"/>
                <w:sz w:val="20"/>
                <w:szCs w:val="20"/>
              </w:rPr>
            </w:pPr>
            <w:r w:rsidRPr="007C3D31">
              <w:rPr>
                <w:rFonts w:ascii="Sylfaen" w:eastAsia="Times New Roman" w:hAnsi="Sylfaen" w:cs="Calibri"/>
                <w:b/>
                <w:bCs/>
                <w:color w:val="000000"/>
                <w:sz w:val="20"/>
                <w:szCs w:val="20"/>
              </w:rPr>
              <w:t>მრავალმხრივი</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კრედიტორებისაგან</w:t>
            </w:r>
          </w:p>
        </w:tc>
        <w:tc>
          <w:tcPr>
            <w:tcW w:w="1191" w:type="pct"/>
            <w:tcBorders>
              <w:top w:val="nil"/>
              <w:left w:val="nil"/>
              <w:bottom w:val="single" w:sz="4" w:space="0" w:color="auto"/>
              <w:right w:val="single" w:sz="4" w:space="0" w:color="auto"/>
            </w:tcBorders>
            <w:shd w:val="clear" w:color="000000" w:fill="E2EFDA"/>
            <w:noWrap/>
            <w:vAlign w:val="center"/>
            <w:hideMark/>
          </w:tcPr>
          <w:p w:rsidR="007C3D31" w:rsidRPr="007C3D31" w:rsidRDefault="007C3D31" w:rsidP="007C3D31">
            <w:pPr>
              <w:spacing w:after="0" w:line="240" w:lineRule="auto"/>
              <w:jc w:val="right"/>
              <w:rPr>
                <w:rFonts w:ascii="Arial" w:eastAsia="Times New Roman" w:hAnsi="Arial" w:cs="Arial"/>
                <w:b/>
                <w:bCs/>
                <w:color w:val="000000"/>
                <w:sz w:val="20"/>
                <w:szCs w:val="20"/>
              </w:rPr>
            </w:pPr>
            <w:r w:rsidRPr="007C3D31">
              <w:rPr>
                <w:rFonts w:ascii="Arial" w:eastAsia="Times New Roman" w:hAnsi="Arial" w:cs="Arial"/>
                <w:b/>
                <w:bCs/>
                <w:color w:val="000000"/>
                <w:sz w:val="20"/>
                <w:szCs w:val="20"/>
                <w:lang w:val="ru-RU"/>
              </w:rPr>
              <w:t>10,275,031.8</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მსოფლიო</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ბანკი</w:t>
            </w:r>
            <w:r w:rsidRPr="007C3D31">
              <w:rPr>
                <w:rFonts w:ascii="Calibri" w:eastAsia="Times New Roman" w:hAnsi="Calibri" w:cs="Calibri"/>
                <w:color w:val="000000"/>
                <w:sz w:val="20"/>
                <w:szCs w:val="20"/>
                <w:lang w:val="ru-RU"/>
              </w:rPr>
              <w:t xml:space="preserve">  (WB)</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5,233,297.1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სოფლის</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მეურნეობის</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განვითარების</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საერთაშორისო</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ფონდი</w:t>
            </w:r>
            <w:r w:rsidRPr="007C3D31">
              <w:rPr>
                <w:rFonts w:ascii="Calibri" w:eastAsia="Times New Roman" w:hAnsi="Calibri" w:cs="Calibri"/>
                <w:color w:val="000000"/>
                <w:sz w:val="20"/>
                <w:szCs w:val="20"/>
                <w:lang w:val="ru-RU"/>
              </w:rPr>
              <w:t xml:space="preserve"> (IFAD)</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81,215.2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საერთაშორისო</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სავალუტო</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ფონდი</w:t>
            </w:r>
            <w:r w:rsidRPr="007C3D31">
              <w:rPr>
                <w:rFonts w:ascii="Calibri" w:eastAsia="Times New Roman" w:hAnsi="Calibri" w:cs="Calibri"/>
                <w:color w:val="000000"/>
                <w:sz w:val="20"/>
                <w:szCs w:val="20"/>
                <w:lang w:val="ru-RU"/>
              </w:rPr>
              <w:t xml:space="preserve"> (IMF)  </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130,290.6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ევროპის</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რეკონსტრუქციისა</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და</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განვითარების</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ბანკი</w:t>
            </w:r>
            <w:r w:rsidRPr="007C3D31">
              <w:rPr>
                <w:rFonts w:ascii="Calibri" w:eastAsia="Times New Roman" w:hAnsi="Calibri" w:cs="Calibri"/>
                <w:color w:val="000000"/>
                <w:sz w:val="20"/>
                <w:szCs w:val="20"/>
                <w:lang w:val="ru-RU"/>
              </w:rPr>
              <w:t xml:space="preserve"> (EBRD)</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332,313.2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აზიის</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განვითარების</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ბანკი</w:t>
            </w:r>
            <w:r w:rsidRPr="007C3D31">
              <w:rPr>
                <w:rFonts w:ascii="Calibri" w:eastAsia="Times New Roman" w:hAnsi="Calibri" w:cs="Calibri"/>
                <w:color w:val="000000"/>
                <w:sz w:val="20"/>
                <w:szCs w:val="20"/>
                <w:lang w:val="ru-RU"/>
              </w:rPr>
              <w:t xml:space="preserve"> (ADB)</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3,058,681.7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ევროპის</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საინვესტიციო</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ბანკი</w:t>
            </w:r>
            <w:r w:rsidRPr="007C3D31">
              <w:rPr>
                <w:rFonts w:ascii="Calibri" w:eastAsia="Times New Roman" w:hAnsi="Calibri" w:cs="Calibri"/>
                <w:color w:val="000000"/>
                <w:sz w:val="20"/>
                <w:szCs w:val="20"/>
                <w:lang w:val="ru-RU"/>
              </w:rPr>
              <w:t xml:space="preserve">  (EIB)</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1,283,953.4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ევროკავშირი</w:t>
            </w:r>
            <w:r w:rsidRPr="007C3D31">
              <w:rPr>
                <w:rFonts w:ascii="Calibri" w:eastAsia="Times New Roman" w:hAnsi="Calibri" w:cs="Calibri"/>
                <w:color w:val="000000"/>
                <w:sz w:val="20"/>
                <w:szCs w:val="20"/>
                <w:lang w:val="ru-RU"/>
              </w:rPr>
              <w:t xml:space="preserve"> (EU)</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116,663.8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აზიის</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ინფრასტრუქტურის</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საინვესტიციო</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ბანკი</w:t>
            </w:r>
            <w:r w:rsidRPr="007C3D31">
              <w:rPr>
                <w:rFonts w:ascii="Calibri" w:eastAsia="Times New Roman" w:hAnsi="Calibri" w:cs="Calibri"/>
                <w:color w:val="000000"/>
                <w:sz w:val="20"/>
                <w:szCs w:val="20"/>
                <w:lang w:val="ru-RU"/>
              </w:rPr>
              <w:t xml:space="preserve"> (AIIB)</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38,616.8 </w:t>
            </w:r>
          </w:p>
        </w:tc>
      </w:tr>
      <w:tr w:rsidR="007C3D31" w:rsidRPr="007C3D31" w:rsidTr="005C1518">
        <w:trPr>
          <w:trHeight w:val="299"/>
        </w:trPr>
        <w:tc>
          <w:tcPr>
            <w:tcW w:w="3809" w:type="pct"/>
            <w:tcBorders>
              <w:top w:val="nil"/>
              <w:left w:val="single" w:sz="4" w:space="0" w:color="auto"/>
              <w:bottom w:val="single" w:sz="4" w:space="0" w:color="auto"/>
              <w:right w:val="single" w:sz="4" w:space="0" w:color="auto"/>
            </w:tcBorders>
            <w:shd w:val="clear" w:color="000000" w:fill="E2EFDA"/>
            <w:vAlign w:val="center"/>
            <w:hideMark/>
          </w:tcPr>
          <w:p w:rsidR="007C3D31" w:rsidRPr="007C3D31" w:rsidRDefault="007C3D31" w:rsidP="007C3D31">
            <w:pPr>
              <w:spacing w:after="0" w:line="240" w:lineRule="auto"/>
              <w:rPr>
                <w:rFonts w:ascii="Sylfaen" w:eastAsia="Times New Roman" w:hAnsi="Sylfaen" w:cs="Calibri"/>
                <w:b/>
                <w:bCs/>
                <w:color w:val="000000"/>
                <w:sz w:val="20"/>
                <w:szCs w:val="20"/>
              </w:rPr>
            </w:pPr>
            <w:r w:rsidRPr="007C3D31">
              <w:rPr>
                <w:rFonts w:ascii="Sylfaen" w:eastAsia="Times New Roman" w:hAnsi="Sylfaen" w:cs="Calibri"/>
                <w:b/>
                <w:bCs/>
                <w:color w:val="000000"/>
                <w:sz w:val="20"/>
                <w:szCs w:val="20"/>
              </w:rPr>
              <w:t>ორმხრივი</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კრედიტორებისაგან</w:t>
            </w:r>
          </w:p>
        </w:tc>
        <w:tc>
          <w:tcPr>
            <w:tcW w:w="1191" w:type="pct"/>
            <w:tcBorders>
              <w:top w:val="nil"/>
              <w:left w:val="nil"/>
              <w:bottom w:val="single" w:sz="4" w:space="0" w:color="auto"/>
              <w:right w:val="single" w:sz="4" w:space="0" w:color="auto"/>
            </w:tcBorders>
            <w:shd w:val="clear" w:color="000000" w:fill="E2EFDA"/>
            <w:noWrap/>
            <w:vAlign w:val="center"/>
            <w:hideMark/>
          </w:tcPr>
          <w:p w:rsidR="007C3D31" w:rsidRPr="007C3D31" w:rsidRDefault="007C3D31" w:rsidP="007C3D31">
            <w:pPr>
              <w:spacing w:after="0" w:line="240" w:lineRule="auto"/>
              <w:jc w:val="right"/>
              <w:rPr>
                <w:rFonts w:ascii="Arial" w:eastAsia="Times New Roman" w:hAnsi="Arial" w:cs="Arial"/>
                <w:b/>
                <w:bCs/>
                <w:color w:val="000000"/>
                <w:sz w:val="20"/>
                <w:szCs w:val="20"/>
              </w:rPr>
            </w:pPr>
            <w:r w:rsidRPr="007C3D31">
              <w:rPr>
                <w:rFonts w:ascii="Arial" w:eastAsia="Times New Roman" w:hAnsi="Arial" w:cs="Arial"/>
                <w:b/>
                <w:bCs/>
                <w:color w:val="000000"/>
                <w:sz w:val="20"/>
                <w:szCs w:val="20"/>
                <w:lang w:val="ru-RU"/>
              </w:rPr>
              <w:t>2,479,879.6</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ავსტრია</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55,046.9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აზერბაიჯანი</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20,927.2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თურქმენეთი</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565.0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თურქეთი</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40,200.4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ირანი</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16,057.2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რუსეთი</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164,325.6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სომხეთი</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23,133.4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უზბეკეთი</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376.0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უკრაინა</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343.4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ყაზახეთი</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47,083.2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ჩინეთი</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4,675.0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გერმანია</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869,579.5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იაპონია</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575,115.6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კუვეიტი</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28,338.9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ნიდერლანდები</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2,217.7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ამერიკა</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54,184.2 </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საფრანგეთი</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rPr>
                <w:rFonts w:ascii="Calibri" w:eastAsia="Times New Roman" w:hAnsi="Calibri" w:cs="Calibri"/>
                <w:sz w:val="20"/>
                <w:szCs w:val="20"/>
              </w:rPr>
            </w:pPr>
            <w:r w:rsidRPr="007C3D31">
              <w:rPr>
                <w:rFonts w:ascii="Calibri" w:eastAsia="Times New Roman" w:hAnsi="Calibri" w:cs="Calibri"/>
                <w:sz w:val="20"/>
                <w:szCs w:val="20"/>
              </w:rPr>
              <w:t xml:space="preserve">                           577,710.5 </w:t>
            </w:r>
          </w:p>
        </w:tc>
      </w:tr>
      <w:tr w:rsidR="007C3D31" w:rsidRPr="007C3D31" w:rsidTr="005C1518">
        <w:trPr>
          <w:trHeight w:val="299"/>
        </w:trPr>
        <w:tc>
          <w:tcPr>
            <w:tcW w:w="3809" w:type="pct"/>
            <w:tcBorders>
              <w:top w:val="nil"/>
              <w:left w:val="single" w:sz="4" w:space="0" w:color="auto"/>
              <w:bottom w:val="single" w:sz="4" w:space="0" w:color="auto"/>
              <w:right w:val="single" w:sz="4" w:space="0" w:color="auto"/>
            </w:tcBorders>
            <w:shd w:val="clear" w:color="000000" w:fill="E2EFDA"/>
            <w:vAlign w:val="center"/>
            <w:hideMark/>
          </w:tcPr>
          <w:p w:rsidR="007C3D31" w:rsidRPr="007C3D31" w:rsidRDefault="007C3D31" w:rsidP="007C3D31">
            <w:pPr>
              <w:spacing w:after="0" w:line="240" w:lineRule="auto"/>
              <w:rPr>
                <w:rFonts w:ascii="Sylfaen" w:eastAsia="Times New Roman" w:hAnsi="Sylfaen" w:cs="Calibri"/>
                <w:b/>
                <w:bCs/>
                <w:color w:val="000000"/>
                <w:sz w:val="20"/>
                <w:szCs w:val="20"/>
              </w:rPr>
            </w:pPr>
            <w:r w:rsidRPr="007C3D31">
              <w:rPr>
                <w:rFonts w:ascii="Sylfaen" w:eastAsia="Times New Roman" w:hAnsi="Sylfaen" w:cs="Calibri"/>
                <w:b/>
                <w:bCs/>
                <w:color w:val="000000"/>
                <w:sz w:val="20"/>
                <w:szCs w:val="20"/>
              </w:rPr>
              <w:t>სხვა</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საგარეო</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ვალდებულებები</w:t>
            </w:r>
          </w:p>
        </w:tc>
        <w:tc>
          <w:tcPr>
            <w:tcW w:w="1191" w:type="pct"/>
            <w:tcBorders>
              <w:top w:val="nil"/>
              <w:left w:val="nil"/>
              <w:bottom w:val="single" w:sz="4" w:space="0" w:color="auto"/>
              <w:right w:val="single" w:sz="4" w:space="0" w:color="auto"/>
            </w:tcBorders>
            <w:shd w:val="clear" w:color="000000" w:fill="E2EFDA"/>
            <w:noWrap/>
            <w:vAlign w:val="center"/>
            <w:hideMark/>
          </w:tcPr>
          <w:p w:rsidR="007C3D31" w:rsidRPr="007C3D31" w:rsidRDefault="007C3D31" w:rsidP="007C3D31">
            <w:pPr>
              <w:spacing w:after="0" w:line="240" w:lineRule="auto"/>
              <w:jc w:val="right"/>
              <w:rPr>
                <w:rFonts w:ascii="Arial" w:eastAsia="Times New Roman" w:hAnsi="Arial" w:cs="Arial"/>
                <w:b/>
                <w:bCs/>
                <w:color w:val="000000"/>
                <w:sz w:val="20"/>
                <w:szCs w:val="20"/>
              </w:rPr>
            </w:pPr>
            <w:r w:rsidRPr="007C3D31">
              <w:rPr>
                <w:rFonts w:ascii="Arial" w:eastAsia="Times New Roman" w:hAnsi="Arial" w:cs="Arial"/>
                <w:b/>
                <w:bCs/>
                <w:color w:val="000000"/>
                <w:sz w:val="20"/>
                <w:szCs w:val="20"/>
                <w:lang w:val="ru-RU"/>
              </w:rPr>
              <w:t>1,338,300.0</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ევრობონდები</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jc w:val="right"/>
              <w:rPr>
                <w:rFonts w:ascii="Arial" w:eastAsia="Times New Roman" w:hAnsi="Arial" w:cs="Arial"/>
                <w:color w:val="000000"/>
                <w:sz w:val="20"/>
                <w:szCs w:val="20"/>
              </w:rPr>
            </w:pPr>
            <w:r w:rsidRPr="007C3D31">
              <w:rPr>
                <w:rFonts w:ascii="Arial" w:eastAsia="Times New Roman" w:hAnsi="Arial" w:cs="Arial"/>
                <w:color w:val="000000"/>
                <w:sz w:val="20"/>
                <w:szCs w:val="20"/>
                <w:lang w:val="ru-RU"/>
              </w:rPr>
              <w:t>1,338,300.0</w:t>
            </w:r>
          </w:p>
        </w:tc>
      </w:tr>
      <w:tr w:rsidR="007C3D31" w:rsidRPr="007C3D31" w:rsidTr="005C1518">
        <w:trPr>
          <w:trHeight w:val="299"/>
        </w:trPr>
        <w:tc>
          <w:tcPr>
            <w:tcW w:w="3809" w:type="pct"/>
            <w:tcBorders>
              <w:top w:val="nil"/>
              <w:left w:val="single" w:sz="4" w:space="0" w:color="auto"/>
              <w:bottom w:val="single" w:sz="4" w:space="0" w:color="auto"/>
              <w:right w:val="single" w:sz="4" w:space="0" w:color="auto"/>
            </w:tcBorders>
            <w:shd w:val="clear" w:color="000000" w:fill="E2EFDA"/>
            <w:vAlign w:val="center"/>
            <w:hideMark/>
          </w:tcPr>
          <w:p w:rsidR="007C3D31" w:rsidRPr="007C3D31" w:rsidRDefault="007C3D31" w:rsidP="007C3D31">
            <w:pPr>
              <w:spacing w:after="0" w:line="240" w:lineRule="auto"/>
              <w:rPr>
                <w:rFonts w:ascii="Sylfaen" w:eastAsia="Times New Roman" w:hAnsi="Sylfaen" w:cs="Calibri"/>
                <w:b/>
                <w:bCs/>
                <w:color w:val="000000"/>
                <w:sz w:val="20"/>
                <w:szCs w:val="20"/>
              </w:rPr>
            </w:pPr>
            <w:r w:rsidRPr="007C3D31">
              <w:rPr>
                <w:rFonts w:ascii="Sylfaen" w:eastAsia="Times New Roman" w:hAnsi="Sylfaen" w:cs="Calibri"/>
                <w:b/>
                <w:bCs/>
                <w:color w:val="000000"/>
                <w:sz w:val="20"/>
                <w:szCs w:val="20"/>
              </w:rPr>
              <w:t>სახელმწიფოს</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გარანტიით</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აღებული</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კრედიტები</w:t>
            </w:r>
          </w:p>
        </w:tc>
        <w:tc>
          <w:tcPr>
            <w:tcW w:w="1191" w:type="pct"/>
            <w:tcBorders>
              <w:top w:val="nil"/>
              <w:left w:val="nil"/>
              <w:bottom w:val="single" w:sz="4" w:space="0" w:color="auto"/>
              <w:right w:val="single" w:sz="4" w:space="0" w:color="auto"/>
            </w:tcBorders>
            <w:shd w:val="clear" w:color="000000" w:fill="E2EFDA"/>
            <w:noWrap/>
            <w:vAlign w:val="center"/>
            <w:hideMark/>
          </w:tcPr>
          <w:p w:rsidR="007C3D31" w:rsidRPr="007C3D31" w:rsidRDefault="007C3D31" w:rsidP="007C3D31">
            <w:pPr>
              <w:spacing w:after="0" w:line="240" w:lineRule="auto"/>
              <w:jc w:val="right"/>
              <w:rPr>
                <w:rFonts w:ascii="Arial" w:eastAsia="Times New Roman" w:hAnsi="Arial" w:cs="Arial"/>
                <w:b/>
                <w:bCs/>
                <w:color w:val="000000"/>
                <w:sz w:val="20"/>
                <w:szCs w:val="20"/>
              </w:rPr>
            </w:pPr>
            <w:r w:rsidRPr="007C3D31">
              <w:rPr>
                <w:rFonts w:ascii="Arial" w:eastAsia="Times New Roman" w:hAnsi="Arial" w:cs="Arial"/>
                <w:b/>
                <w:bCs/>
                <w:color w:val="000000"/>
                <w:sz w:val="20"/>
                <w:szCs w:val="20"/>
                <w:lang w:val="ru-RU"/>
              </w:rPr>
              <w:t>4,968.2</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გერმანია</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jc w:val="right"/>
              <w:rPr>
                <w:rFonts w:ascii="Arial" w:eastAsia="Times New Roman" w:hAnsi="Arial" w:cs="Arial"/>
                <w:color w:val="000000"/>
                <w:sz w:val="20"/>
                <w:szCs w:val="20"/>
              </w:rPr>
            </w:pPr>
            <w:r w:rsidRPr="007C3D31">
              <w:rPr>
                <w:rFonts w:ascii="Arial" w:eastAsia="Times New Roman" w:hAnsi="Arial" w:cs="Arial"/>
                <w:color w:val="000000"/>
                <w:sz w:val="20"/>
                <w:szCs w:val="20"/>
                <w:lang w:val="ru-RU"/>
              </w:rPr>
              <w:t>4,968.2</w:t>
            </w:r>
          </w:p>
        </w:tc>
      </w:tr>
      <w:tr w:rsidR="007C3D31" w:rsidRPr="007C3D31" w:rsidTr="005C1518">
        <w:trPr>
          <w:trHeight w:val="299"/>
        </w:trPr>
        <w:tc>
          <w:tcPr>
            <w:tcW w:w="3809" w:type="pct"/>
            <w:tcBorders>
              <w:top w:val="nil"/>
              <w:left w:val="single" w:sz="4" w:space="0" w:color="auto"/>
              <w:bottom w:val="single" w:sz="4" w:space="0" w:color="auto"/>
              <w:right w:val="single" w:sz="4" w:space="0" w:color="auto"/>
            </w:tcBorders>
            <w:shd w:val="clear" w:color="000000" w:fill="E2EFDA"/>
            <w:vAlign w:val="center"/>
            <w:hideMark/>
          </w:tcPr>
          <w:p w:rsidR="007C3D31" w:rsidRPr="007C3D31" w:rsidRDefault="007C3D31" w:rsidP="007C3D31">
            <w:pPr>
              <w:spacing w:after="0" w:line="240" w:lineRule="auto"/>
              <w:rPr>
                <w:rFonts w:ascii="Sylfaen" w:eastAsia="Times New Roman" w:hAnsi="Sylfaen" w:cs="Calibri"/>
                <w:b/>
                <w:bCs/>
                <w:color w:val="000000"/>
                <w:sz w:val="20"/>
                <w:szCs w:val="20"/>
              </w:rPr>
            </w:pPr>
            <w:r w:rsidRPr="007C3D31">
              <w:rPr>
                <w:rFonts w:ascii="Sylfaen" w:eastAsia="Times New Roman" w:hAnsi="Sylfaen" w:cs="Calibri"/>
                <w:b/>
                <w:bCs/>
                <w:color w:val="000000"/>
                <w:sz w:val="20"/>
                <w:szCs w:val="20"/>
              </w:rPr>
              <w:t>საერთაშორისო</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სავალუტო</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ფონდი</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ეროვნული</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ბანკი</w:t>
            </w:r>
            <w:r w:rsidRPr="007C3D31">
              <w:rPr>
                <w:rFonts w:ascii="Calibri" w:eastAsia="Times New Roman" w:hAnsi="Calibri" w:cs="Calibri"/>
                <w:b/>
                <w:bCs/>
                <w:color w:val="000000"/>
                <w:sz w:val="20"/>
                <w:szCs w:val="20"/>
              </w:rPr>
              <w:t xml:space="preserve">)  </w:t>
            </w:r>
          </w:p>
        </w:tc>
        <w:tc>
          <w:tcPr>
            <w:tcW w:w="1191" w:type="pct"/>
            <w:tcBorders>
              <w:top w:val="nil"/>
              <w:left w:val="nil"/>
              <w:bottom w:val="single" w:sz="4" w:space="0" w:color="auto"/>
              <w:right w:val="single" w:sz="4" w:space="0" w:color="auto"/>
            </w:tcBorders>
            <w:shd w:val="clear" w:color="000000" w:fill="E2EFDA"/>
            <w:noWrap/>
            <w:vAlign w:val="center"/>
            <w:hideMark/>
          </w:tcPr>
          <w:p w:rsidR="007C3D31" w:rsidRPr="007C3D31" w:rsidRDefault="007C3D31" w:rsidP="007C3D31">
            <w:pPr>
              <w:spacing w:after="0" w:line="240" w:lineRule="auto"/>
              <w:jc w:val="right"/>
              <w:rPr>
                <w:rFonts w:ascii="Arial" w:eastAsia="Times New Roman" w:hAnsi="Arial" w:cs="Arial"/>
                <w:b/>
                <w:bCs/>
                <w:color w:val="000000"/>
                <w:sz w:val="20"/>
                <w:szCs w:val="20"/>
              </w:rPr>
            </w:pPr>
            <w:r w:rsidRPr="007C3D31">
              <w:rPr>
                <w:rFonts w:ascii="Arial" w:eastAsia="Times New Roman" w:hAnsi="Arial" w:cs="Arial"/>
                <w:b/>
                <w:bCs/>
                <w:color w:val="000000"/>
                <w:sz w:val="20"/>
                <w:szCs w:val="20"/>
                <w:lang w:val="ru-RU"/>
              </w:rPr>
              <w:t>446,710.6</w:t>
            </w:r>
          </w:p>
        </w:tc>
      </w:tr>
      <w:tr w:rsidR="007C3D31" w:rsidRPr="007C3D31" w:rsidTr="005C1518">
        <w:trPr>
          <w:trHeight w:val="299"/>
        </w:trPr>
        <w:tc>
          <w:tcPr>
            <w:tcW w:w="3809" w:type="pct"/>
            <w:tcBorders>
              <w:top w:val="nil"/>
              <w:left w:val="single" w:sz="4" w:space="0" w:color="auto"/>
              <w:bottom w:val="single" w:sz="4" w:space="0" w:color="auto"/>
              <w:right w:val="single" w:sz="4" w:space="0" w:color="auto"/>
            </w:tcBorders>
            <w:shd w:val="clear" w:color="000000" w:fill="D9E1F2"/>
            <w:vAlign w:val="center"/>
            <w:hideMark/>
          </w:tcPr>
          <w:p w:rsidR="007C3D31" w:rsidRPr="007C3D31" w:rsidRDefault="007C3D31" w:rsidP="007C3D31">
            <w:pPr>
              <w:spacing w:after="0" w:line="240" w:lineRule="auto"/>
              <w:rPr>
                <w:rFonts w:ascii="Sylfaen" w:eastAsia="Times New Roman" w:hAnsi="Sylfaen" w:cs="Calibri"/>
                <w:b/>
                <w:bCs/>
                <w:color w:val="000000"/>
                <w:sz w:val="20"/>
                <w:szCs w:val="20"/>
              </w:rPr>
            </w:pPr>
            <w:r w:rsidRPr="007C3D31">
              <w:rPr>
                <w:rFonts w:ascii="Sylfaen" w:eastAsia="Times New Roman" w:hAnsi="Sylfaen" w:cs="Calibri"/>
                <w:b/>
                <w:bCs/>
                <w:color w:val="000000"/>
                <w:sz w:val="20"/>
                <w:szCs w:val="20"/>
              </w:rPr>
              <w:t>საშინაო</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ვალის</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ნაშთი</w:t>
            </w:r>
          </w:p>
        </w:tc>
        <w:tc>
          <w:tcPr>
            <w:tcW w:w="1191" w:type="pct"/>
            <w:tcBorders>
              <w:top w:val="nil"/>
              <w:left w:val="nil"/>
              <w:bottom w:val="single" w:sz="4" w:space="0" w:color="auto"/>
              <w:right w:val="single" w:sz="4" w:space="0" w:color="auto"/>
            </w:tcBorders>
            <w:shd w:val="clear" w:color="000000" w:fill="D9E1F2"/>
            <w:vAlign w:val="center"/>
            <w:hideMark/>
          </w:tcPr>
          <w:p w:rsidR="007C3D31" w:rsidRPr="007C3D31" w:rsidRDefault="00984BB5" w:rsidP="00984BB5">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3,250,453.9 </w:t>
            </w:r>
          </w:p>
        </w:tc>
      </w:tr>
      <w:tr w:rsidR="007C3D31" w:rsidRPr="007C3D31" w:rsidTr="005C1518">
        <w:trPr>
          <w:trHeight w:val="569"/>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ეროვნული</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ბანკისთვის</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განკუთვნილი</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ერთწლიანი</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ყოველწლიურად</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განახლებადი</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სახელმწიფო</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ობლიგაცია</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jc w:val="right"/>
              <w:rPr>
                <w:rFonts w:ascii="Arial" w:eastAsia="Times New Roman" w:hAnsi="Arial" w:cs="Arial"/>
                <w:color w:val="000000"/>
                <w:sz w:val="20"/>
                <w:szCs w:val="20"/>
              </w:rPr>
            </w:pPr>
            <w:r w:rsidRPr="007C3D31">
              <w:rPr>
                <w:rFonts w:ascii="Arial" w:eastAsia="Times New Roman" w:hAnsi="Arial" w:cs="Arial"/>
                <w:color w:val="000000"/>
                <w:sz w:val="20"/>
                <w:szCs w:val="20"/>
                <w:lang w:val="ru-RU"/>
              </w:rPr>
              <w:t>280,846.0</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სხვადასხვა</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ვადის</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სახელმწიფო</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ობლიგაციები</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ღია</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ბაზრის</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ოპერაციებისთვის</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jc w:val="right"/>
              <w:rPr>
                <w:rFonts w:ascii="Arial" w:eastAsia="Times New Roman" w:hAnsi="Arial" w:cs="Arial"/>
                <w:color w:val="000000"/>
                <w:sz w:val="20"/>
                <w:szCs w:val="20"/>
              </w:rPr>
            </w:pPr>
            <w:r w:rsidRPr="007C3D31">
              <w:rPr>
                <w:rFonts w:ascii="Arial" w:eastAsia="Times New Roman" w:hAnsi="Arial" w:cs="Arial"/>
                <w:color w:val="000000"/>
                <w:sz w:val="20"/>
                <w:szCs w:val="20"/>
                <w:lang w:val="ru-RU"/>
              </w:rPr>
              <w:t>152,000.0</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ფინანსთა</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სამინისტროს</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სახაზინო</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ვალდებულებები</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jc w:val="right"/>
              <w:rPr>
                <w:rFonts w:ascii="Arial" w:eastAsia="Times New Roman" w:hAnsi="Arial" w:cs="Arial"/>
                <w:color w:val="000000"/>
                <w:sz w:val="20"/>
                <w:szCs w:val="20"/>
              </w:rPr>
            </w:pPr>
            <w:r w:rsidRPr="007C3D31">
              <w:rPr>
                <w:rFonts w:ascii="Arial" w:eastAsia="Times New Roman" w:hAnsi="Arial" w:cs="Arial"/>
                <w:color w:val="000000"/>
                <w:sz w:val="20"/>
                <w:szCs w:val="20"/>
                <w:lang w:val="ru-RU"/>
              </w:rPr>
              <w:t>563,460.8</w:t>
            </w:r>
          </w:p>
        </w:tc>
      </w:tr>
      <w:tr w:rsidR="007C3D31" w:rsidRPr="007C3D31" w:rsidTr="005C1518">
        <w:trPr>
          <w:trHeight w:val="284"/>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color w:val="000000"/>
                <w:sz w:val="20"/>
                <w:szCs w:val="20"/>
              </w:rPr>
            </w:pPr>
            <w:r w:rsidRPr="007C3D31">
              <w:rPr>
                <w:rFonts w:ascii="Sylfaen" w:eastAsia="Times New Roman" w:hAnsi="Sylfaen" w:cs="Sylfaen"/>
                <w:color w:val="000000"/>
                <w:sz w:val="20"/>
                <w:szCs w:val="20"/>
                <w:lang w:val="ru-RU"/>
              </w:rPr>
              <w:t>ფინანსთა</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სამინისტროს</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სახაზინო</w:t>
            </w:r>
            <w:r w:rsidRPr="007C3D31">
              <w:rPr>
                <w:rFonts w:ascii="Calibri" w:eastAsia="Times New Roman" w:hAnsi="Calibri" w:cs="Calibri"/>
                <w:color w:val="000000"/>
                <w:sz w:val="20"/>
                <w:szCs w:val="20"/>
                <w:lang w:val="ru-RU"/>
              </w:rPr>
              <w:t xml:space="preserve"> </w:t>
            </w:r>
            <w:r w:rsidRPr="007C3D31">
              <w:rPr>
                <w:rFonts w:ascii="Sylfaen" w:eastAsia="Times New Roman" w:hAnsi="Sylfaen" w:cs="Sylfaen"/>
                <w:color w:val="000000"/>
                <w:sz w:val="20"/>
                <w:szCs w:val="20"/>
                <w:lang w:val="ru-RU"/>
              </w:rPr>
              <w:t>ობლიგაციები</w:t>
            </w:r>
          </w:p>
        </w:tc>
        <w:tc>
          <w:tcPr>
            <w:tcW w:w="1191" w:type="pct"/>
            <w:tcBorders>
              <w:top w:val="nil"/>
              <w:left w:val="nil"/>
              <w:bottom w:val="single" w:sz="4" w:space="0" w:color="auto"/>
              <w:right w:val="single" w:sz="4" w:space="0" w:color="auto"/>
            </w:tcBorders>
            <w:shd w:val="clear" w:color="auto" w:fill="auto"/>
            <w:noWrap/>
            <w:vAlign w:val="center"/>
            <w:hideMark/>
          </w:tcPr>
          <w:p w:rsidR="007C3D31" w:rsidRPr="007C3D31" w:rsidRDefault="007C3D31" w:rsidP="007C3D31">
            <w:pPr>
              <w:spacing w:after="0" w:line="240" w:lineRule="auto"/>
              <w:jc w:val="right"/>
              <w:rPr>
                <w:rFonts w:ascii="Arial" w:eastAsia="Times New Roman" w:hAnsi="Arial" w:cs="Arial"/>
                <w:color w:val="000000"/>
                <w:sz w:val="20"/>
                <w:szCs w:val="20"/>
              </w:rPr>
            </w:pPr>
            <w:r w:rsidRPr="007C3D31">
              <w:rPr>
                <w:rFonts w:ascii="Arial" w:eastAsia="Times New Roman" w:hAnsi="Arial" w:cs="Arial"/>
                <w:color w:val="000000"/>
                <w:sz w:val="20"/>
                <w:szCs w:val="20"/>
                <w:lang w:val="ru-RU"/>
              </w:rPr>
              <w:t>2,254,147.1</w:t>
            </w:r>
          </w:p>
        </w:tc>
      </w:tr>
      <w:tr w:rsidR="007C3D31" w:rsidRPr="007C3D31" w:rsidTr="005C1518">
        <w:trPr>
          <w:trHeight w:val="299"/>
        </w:trPr>
        <w:tc>
          <w:tcPr>
            <w:tcW w:w="3809" w:type="pct"/>
            <w:tcBorders>
              <w:top w:val="nil"/>
              <w:left w:val="single" w:sz="4" w:space="0" w:color="auto"/>
              <w:bottom w:val="single" w:sz="4" w:space="0" w:color="auto"/>
              <w:right w:val="single" w:sz="4" w:space="0" w:color="auto"/>
            </w:tcBorders>
            <w:shd w:val="clear" w:color="auto" w:fill="auto"/>
            <w:vAlign w:val="center"/>
            <w:hideMark/>
          </w:tcPr>
          <w:p w:rsidR="007C3D31" w:rsidRPr="007C3D31" w:rsidRDefault="007C3D31" w:rsidP="007C3D31">
            <w:pPr>
              <w:spacing w:after="0" w:line="240" w:lineRule="auto"/>
              <w:rPr>
                <w:rFonts w:ascii="Sylfaen" w:eastAsia="Times New Roman" w:hAnsi="Sylfaen" w:cs="Calibri"/>
                <w:b/>
                <w:bCs/>
                <w:color w:val="000000"/>
                <w:sz w:val="20"/>
                <w:szCs w:val="20"/>
              </w:rPr>
            </w:pPr>
            <w:r w:rsidRPr="007C3D31">
              <w:rPr>
                <w:rFonts w:ascii="Sylfaen" w:eastAsia="Times New Roman" w:hAnsi="Sylfaen" w:cs="Calibri"/>
                <w:b/>
                <w:bCs/>
                <w:color w:val="000000"/>
                <w:sz w:val="20"/>
                <w:szCs w:val="20"/>
              </w:rPr>
              <w:t>სულ</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სახელმწიფო</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ვალის</w:t>
            </w:r>
            <w:r w:rsidRPr="007C3D31">
              <w:rPr>
                <w:rFonts w:ascii="Calibri" w:eastAsia="Times New Roman" w:hAnsi="Calibri" w:cs="Calibri"/>
                <w:b/>
                <w:bCs/>
                <w:color w:val="000000"/>
                <w:sz w:val="20"/>
                <w:szCs w:val="20"/>
              </w:rPr>
              <w:t xml:space="preserve"> </w:t>
            </w:r>
            <w:r w:rsidRPr="007C3D31">
              <w:rPr>
                <w:rFonts w:ascii="Sylfaen" w:eastAsia="Times New Roman" w:hAnsi="Sylfaen" w:cs="Calibri"/>
                <w:b/>
                <w:bCs/>
                <w:color w:val="000000"/>
                <w:sz w:val="20"/>
                <w:szCs w:val="20"/>
              </w:rPr>
              <w:t>ნაშთი</w:t>
            </w:r>
          </w:p>
        </w:tc>
        <w:tc>
          <w:tcPr>
            <w:tcW w:w="1191" w:type="pct"/>
            <w:tcBorders>
              <w:top w:val="nil"/>
              <w:left w:val="nil"/>
              <w:bottom w:val="single" w:sz="4" w:space="0" w:color="auto"/>
              <w:right w:val="single" w:sz="4" w:space="0" w:color="auto"/>
            </w:tcBorders>
            <w:shd w:val="clear" w:color="auto" w:fill="auto"/>
            <w:vAlign w:val="center"/>
            <w:hideMark/>
          </w:tcPr>
          <w:p w:rsidR="007C3D31" w:rsidRPr="007C3D31" w:rsidRDefault="00984BB5" w:rsidP="00984BB5">
            <w:pPr>
              <w:spacing w:after="0" w:line="240" w:lineRule="auto"/>
              <w:jc w:val="right"/>
              <w:rPr>
                <w:rFonts w:ascii="Arial" w:eastAsia="Times New Roman" w:hAnsi="Arial" w:cs="Arial"/>
                <w:b/>
                <w:bCs/>
                <w:color w:val="000000"/>
                <w:sz w:val="20"/>
                <w:szCs w:val="20"/>
              </w:rPr>
            </w:pPr>
            <w:r w:rsidRPr="00984BB5">
              <w:rPr>
                <w:rFonts w:ascii="Arial" w:eastAsia="Times New Roman" w:hAnsi="Arial" w:cs="Arial"/>
                <w:b/>
                <w:bCs/>
                <w:color w:val="000000"/>
                <w:sz w:val="20"/>
                <w:szCs w:val="20"/>
              </w:rPr>
              <w:t>17,795,344.1</w:t>
            </w:r>
          </w:p>
        </w:tc>
      </w:tr>
    </w:tbl>
    <w:p w:rsidR="000340AB" w:rsidRDefault="000340AB" w:rsidP="00D62E87">
      <w:pPr>
        <w:spacing w:after="0" w:line="240" w:lineRule="auto"/>
        <w:rPr>
          <w:rFonts w:ascii="Sylfaen" w:hAnsi="Sylfaen" w:cs="Sylfaen"/>
          <w:i/>
          <w:sz w:val="16"/>
          <w:szCs w:val="16"/>
          <w:lang w:val="ka-GE"/>
        </w:rPr>
      </w:pPr>
      <w:proofErr w:type="gramStart"/>
      <w:r w:rsidRPr="00B01FEA">
        <w:rPr>
          <w:rFonts w:ascii="Sylfaen" w:hAnsi="Sylfaen" w:cs="Sylfaen"/>
          <w:i/>
          <w:sz w:val="16"/>
          <w:szCs w:val="16"/>
        </w:rPr>
        <w:t>შენიშვნა</w:t>
      </w:r>
      <w:proofErr w:type="gramEnd"/>
      <w:r w:rsidRPr="00B01FEA">
        <w:rPr>
          <w:i/>
          <w:sz w:val="16"/>
          <w:szCs w:val="16"/>
        </w:rPr>
        <w:t xml:space="preserve">: </w:t>
      </w:r>
      <w:r w:rsidRPr="00B01FEA">
        <w:rPr>
          <w:rFonts w:ascii="Sylfaen" w:hAnsi="Sylfaen" w:cs="Sylfaen"/>
          <w:i/>
          <w:sz w:val="16"/>
          <w:szCs w:val="16"/>
        </w:rPr>
        <w:t>ცხრილში</w:t>
      </w:r>
      <w:r w:rsidRPr="00B01FEA">
        <w:rPr>
          <w:i/>
          <w:sz w:val="16"/>
          <w:szCs w:val="16"/>
        </w:rPr>
        <w:t xml:space="preserve"> </w:t>
      </w:r>
      <w:r w:rsidRPr="00B01FEA">
        <w:rPr>
          <w:rFonts w:ascii="Sylfaen" w:hAnsi="Sylfaen" w:cs="Sylfaen"/>
          <w:i/>
          <w:sz w:val="16"/>
          <w:szCs w:val="16"/>
        </w:rPr>
        <w:t>გამოყენებულია</w:t>
      </w:r>
      <w:r w:rsidRPr="00B01FEA">
        <w:rPr>
          <w:i/>
          <w:sz w:val="16"/>
          <w:szCs w:val="16"/>
        </w:rPr>
        <w:t xml:space="preserve"> </w:t>
      </w:r>
      <w:r w:rsidRPr="00B01FEA">
        <w:rPr>
          <w:rFonts w:ascii="Sylfaen" w:hAnsi="Sylfaen" w:cs="Sylfaen"/>
          <w:i/>
          <w:sz w:val="16"/>
          <w:szCs w:val="16"/>
        </w:rPr>
        <w:t>სავალუტო</w:t>
      </w:r>
      <w:r w:rsidRPr="00B01FEA">
        <w:rPr>
          <w:i/>
          <w:sz w:val="16"/>
          <w:szCs w:val="16"/>
        </w:rPr>
        <w:t xml:space="preserve"> </w:t>
      </w:r>
      <w:r w:rsidRPr="00B01FEA">
        <w:rPr>
          <w:rFonts w:ascii="Sylfaen" w:hAnsi="Sylfaen" w:cs="Sylfaen"/>
          <w:i/>
          <w:sz w:val="16"/>
          <w:szCs w:val="16"/>
        </w:rPr>
        <w:t>კურსები</w:t>
      </w:r>
      <w:r w:rsidRPr="00B01FEA">
        <w:rPr>
          <w:i/>
          <w:sz w:val="16"/>
          <w:szCs w:val="16"/>
        </w:rPr>
        <w:t xml:space="preserve"> </w:t>
      </w:r>
      <w:r w:rsidRPr="00B01FEA">
        <w:rPr>
          <w:rFonts w:ascii="Sylfaen" w:hAnsi="Sylfaen" w:cs="Sylfaen"/>
          <w:i/>
          <w:sz w:val="16"/>
          <w:szCs w:val="16"/>
        </w:rPr>
        <w:t>მოცემული</w:t>
      </w:r>
      <w:r w:rsidRPr="00B01FEA">
        <w:rPr>
          <w:i/>
          <w:sz w:val="16"/>
          <w:szCs w:val="16"/>
        </w:rPr>
        <w:t xml:space="preserve"> </w:t>
      </w:r>
      <w:r w:rsidRPr="00B01FEA">
        <w:rPr>
          <w:rFonts w:ascii="Sylfaen" w:hAnsi="Sylfaen" w:cs="Sylfaen"/>
          <w:i/>
          <w:sz w:val="16"/>
          <w:szCs w:val="16"/>
        </w:rPr>
        <w:t>თარიღისათვის</w:t>
      </w:r>
      <w:r w:rsidR="00401A15">
        <w:rPr>
          <w:rFonts w:ascii="Sylfaen" w:hAnsi="Sylfaen" w:cs="Sylfaen"/>
          <w:i/>
          <w:sz w:val="16"/>
          <w:szCs w:val="16"/>
          <w:lang w:val="ka-GE"/>
        </w:rPr>
        <w:t>.</w:t>
      </w:r>
    </w:p>
    <w:p w:rsidR="00714D99" w:rsidRDefault="00714D99" w:rsidP="00714D99">
      <w:pPr>
        <w:autoSpaceDE w:val="0"/>
        <w:autoSpaceDN w:val="0"/>
        <w:adjustRightInd w:val="0"/>
        <w:spacing w:after="0" w:line="240" w:lineRule="auto"/>
        <w:rPr>
          <w:rFonts w:ascii="Sylfaen" w:hAnsi="Sylfaen" w:cs="Sylfaen"/>
          <w:b/>
          <w:szCs w:val="16"/>
          <w:lang w:val="ka-GE"/>
        </w:rPr>
      </w:pPr>
      <w:r w:rsidRPr="00712CC6">
        <w:rPr>
          <w:rFonts w:ascii="Sylfaen" w:hAnsi="Sylfaen" w:cs="Sylfaen"/>
          <w:b/>
          <w:szCs w:val="16"/>
          <w:lang w:val="ka-GE"/>
        </w:rPr>
        <w:lastRenderedPageBreak/>
        <w:t>მთავრობის ვალის</w:t>
      </w:r>
      <w:r w:rsidR="009921E7">
        <w:rPr>
          <w:rFonts w:ascii="Sylfaen" w:hAnsi="Sylfaen" w:cs="Sylfaen"/>
          <w:b/>
          <w:szCs w:val="16"/>
          <w:lang w:val="ka-GE"/>
        </w:rPr>
        <w:t xml:space="preserve"> მშპ-თან ფარდობის</w:t>
      </w:r>
      <w:r w:rsidRPr="00712CC6">
        <w:rPr>
          <w:rFonts w:ascii="Sylfaen" w:hAnsi="Sylfaen" w:cs="Sylfaen"/>
          <w:b/>
          <w:szCs w:val="16"/>
          <w:lang w:val="ka-GE"/>
        </w:rPr>
        <w:t xml:space="preserve"> ცვლილების ანალიზი</w:t>
      </w:r>
    </w:p>
    <w:p w:rsidR="00522293" w:rsidRDefault="00522293" w:rsidP="00714D99">
      <w:pPr>
        <w:autoSpaceDE w:val="0"/>
        <w:autoSpaceDN w:val="0"/>
        <w:adjustRightInd w:val="0"/>
        <w:spacing w:after="0" w:line="240" w:lineRule="auto"/>
        <w:rPr>
          <w:rFonts w:ascii="Sylfaen" w:hAnsi="Sylfaen" w:cs="Sylfaen"/>
          <w:b/>
          <w:szCs w:val="16"/>
          <w:lang w:val="ka-GE"/>
        </w:rPr>
      </w:pPr>
    </w:p>
    <w:p w:rsidR="00522293" w:rsidRPr="001D7CD2" w:rsidRDefault="00522293" w:rsidP="00522293">
      <w:pPr>
        <w:autoSpaceDE w:val="0"/>
        <w:autoSpaceDN w:val="0"/>
        <w:adjustRightInd w:val="0"/>
        <w:spacing w:after="0" w:line="240" w:lineRule="auto"/>
        <w:jc w:val="both"/>
        <w:rPr>
          <w:rFonts w:ascii="Sylfaen" w:hAnsi="Sylfaen" w:cs="Sylfaen"/>
          <w:b/>
          <w:sz w:val="20"/>
          <w:szCs w:val="20"/>
          <w:lang w:val="ka-GE"/>
        </w:rPr>
      </w:pPr>
      <w:bookmarkStart w:id="0" w:name="_GoBack"/>
      <w:bookmarkEnd w:id="0"/>
      <w:r w:rsidRPr="001D7CD2">
        <w:rPr>
          <w:rFonts w:ascii="Sylfaen" w:hAnsi="Sylfaen"/>
          <w:sz w:val="20"/>
          <w:szCs w:val="20"/>
          <w:shd w:val="clear" w:color="auto" w:fill="FFFFFF"/>
          <w:lang w:val="ka-GE"/>
        </w:rPr>
        <w:t>„ეკონომიკური თავისუფლების შესახებ“ საქართველოს ორგანული კანონის შესაბამისად</w:t>
      </w:r>
      <w:r w:rsidRPr="001D7CD2">
        <w:rPr>
          <w:rFonts w:ascii="Sylfaen" w:hAnsi="Sylfaen" w:cs="Sylfaen"/>
          <w:sz w:val="20"/>
          <w:szCs w:val="20"/>
          <w:shd w:val="clear" w:color="auto" w:fill="FFFFFF"/>
          <w:lang w:val="ka-GE"/>
        </w:rPr>
        <w:t xml:space="preserve"> მთავრობის ვალის ნაშთი </w:t>
      </w:r>
      <w:r w:rsidR="008079A6" w:rsidRPr="001D7CD2">
        <w:rPr>
          <w:rFonts w:ascii="Sylfaen" w:hAnsi="Sylfaen" w:cs="Sylfaen"/>
          <w:sz w:val="20"/>
          <w:szCs w:val="20"/>
          <w:shd w:val="clear" w:color="auto" w:fill="FFFFFF"/>
          <w:lang w:val="ka-GE"/>
        </w:rPr>
        <w:t>2018 წლის 31 დეკემბრის მდგომარეობით</w:t>
      </w:r>
      <w:r w:rsidRPr="001D7CD2">
        <w:rPr>
          <w:rFonts w:ascii="Sylfaen" w:hAnsi="Sylfaen" w:cs="Sylfaen"/>
          <w:sz w:val="20"/>
          <w:szCs w:val="20"/>
          <w:shd w:val="clear" w:color="auto" w:fill="FFFFFF"/>
          <w:lang w:val="ka-GE"/>
        </w:rPr>
        <w:t xml:space="preserve"> შეადგენს 17 351.2 მლნ ლარს</w:t>
      </w:r>
      <w:r w:rsidRPr="001D7CD2">
        <w:rPr>
          <w:rFonts w:ascii="Sylfaen" w:hAnsi="Sylfaen" w:cs="Sylfaen"/>
          <w:sz w:val="20"/>
          <w:szCs w:val="20"/>
          <w:shd w:val="clear" w:color="auto" w:fill="FFFFFF"/>
        </w:rPr>
        <w:t>,</w:t>
      </w:r>
      <w:r w:rsidRPr="001D7CD2">
        <w:rPr>
          <w:rFonts w:ascii="Sylfaen" w:hAnsi="Sylfaen"/>
          <w:sz w:val="20"/>
          <w:szCs w:val="20"/>
          <w:shd w:val="clear" w:color="auto" w:fill="FFFFFF"/>
        </w:rPr>
        <w:t xml:space="preserve"> </w:t>
      </w:r>
      <w:r w:rsidRPr="001D7CD2">
        <w:rPr>
          <w:rFonts w:ascii="Sylfaen" w:hAnsi="Sylfaen"/>
          <w:sz w:val="20"/>
          <w:szCs w:val="20"/>
          <w:shd w:val="clear" w:color="auto" w:fill="FFFFFF"/>
          <w:lang w:val="ka-GE"/>
        </w:rPr>
        <w:t>მათ შორის „სახელმწიფო ვალის შესახებ“ საქართველოს კანონით გათვალისწინებულ სახელმწიფო ვალს, გარდა საქართველოს ეროვნული ბანკის მიერ აღებული ვალდებულებებისა -  17 348.6 მლნ ლარს</w:t>
      </w:r>
      <w:r w:rsidRPr="001D7CD2">
        <w:rPr>
          <w:rFonts w:ascii="Sylfaen" w:hAnsi="Sylfaen"/>
          <w:sz w:val="20"/>
          <w:szCs w:val="20"/>
          <w:shd w:val="clear" w:color="auto" w:fill="FFFFFF"/>
        </w:rPr>
        <w:t xml:space="preserve"> </w:t>
      </w:r>
      <w:r w:rsidRPr="001D7CD2">
        <w:rPr>
          <w:rFonts w:ascii="Sylfaen" w:hAnsi="Sylfaen"/>
          <w:sz w:val="20"/>
          <w:szCs w:val="20"/>
          <w:shd w:val="clear" w:color="auto" w:fill="FFFFFF"/>
          <w:lang w:val="ka-GE"/>
        </w:rPr>
        <w:t>და საბიუჯეტო ორგანიზაციების სესხის სახით არსებულ ნაშთს - 2.5 მლნ ლარს.</w:t>
      </w:r>
    </w:p>
    <w:p w:rsidR="00522293" w:rsidRPr="001D7CD2" w:rsidRDefault="00522293" w:rsidP="00714D99">
      <w:pPr>
        <w:autoSpaceDE w:val="0"/>
        <w:autoSpaceDN w:val="0"/>
        <w:adjustRightInd w:val="0"/>
        <w:spacing w:after="0" w:line="240" w:lineRule="auto"/>
        <w:rPr>
          <w:rFonts w:ascii="Sylfaen" w:hAnsi="Sylfaen" w:cs="Sylfaen"/>
          <w:b/>
          <w:szCs w:val="16"/>
          <w:lang w:val="ka-GE"/>
        </w:rPr>
      </w:pPr>
    </w:p>
    <w:p w:rsidR="00712CC6" w:rsidRPr="001D7CD2" w:rsidRDefault="00712CC6" w:rsidP="00712CC6">
      <w:pPr>
        <w:autoSpaceDE w:val="0"/>
        <w:autoSpaceDN w:val="0"/>
        <w:adjustRightInd w:val="0"/>
        <w:spacing w:after="0" w:line="240" w:lineRule="auto"/>
        <w:jc w:val="both"/>
        <w:rPr>
          <w:rFonts w:ascii="Sylfaen" w:hAnsi="Sylfaen" w:cs="Sylfaen"/>
          <w:sz w:val="20"/>
          <w:szCs w:val="16"/>
          <w:lang w:val="ka-GE"/>
        </w:rPr>
      </w:pPr>
      <w:r w:rsidRPr="001D7CD2">
        <w:rPr>
          <w:rFonts w:ascii="Sylfaen" w:hAnsi="Sylfaen" w:cs="Sylfaen"/>
          <w:sz w:val="20"/>
          <w:szCs w:val="16"/>
          <w:lang w:val="ka-GE"/>
        </w:rPr>
        <w:t xml:space="preserve">2018 </w:t>
      </w:r>
      <w:r w:rsidR="0049754C" w:rsidRPr="001D7CD2">
        <w:rPr>
          <w:rFonts w:ascii="Sylfaen" w:hAnsi="Sylfaen" w:cs="Sylfaen"/>
          <w:sz w:val="20"/>
          <w:szCs w:val="16"/>
          <w:lang w:val="ka-GE"/>
        </w:rPr>
        <w:t>წ</w:t>
      </w:r>
      <w:r w:rsidRPr="001D7CD2">
        <w:rPr>
          <w:rFonts w:ascii="Sylfaen" w:hAnsi="Sylfaen" w:cs="Sylfaen"/>
          <w:sz w:val="20"/>
          <w:szCs w:val="16"/>
          <w:lang w:val="ka-GE"/>
        </w:rPr>
        <w:t>ლის ბოლოს მდგომარეობით</w:t>
      </w:r>
      <w:r w:rsidR="009921E7" w:rsidRPr="001D7CD2">
        <w:rPr>
          <w:rFonts w:ascii="Sylfaen" w:hAnsi="Sylfaen" w:cs="Sylfaen"/>
          <w:sz w:val="20"/>
          <w:szCs w:val="16"/>
          <w:lang w:val="ka-GE"/>
        </w:rPr>
        <w:t>,</w:t>
      </w:r>
      <w:r w:rsidRPr="001D7CD2">
        <w:rPr>
          <w:rFonts w:ascii="Sylfaen" w:hAnsi="Sylfaen" w:cs="Sylfaen"/>
          <w:sz w:val="20"/>
          <w:szCs w:val="16"/>
          <w:lang w:val="ka-GE"/>
        </w:rPr>
        <w:t xml:space="preserve"> 2017-თან  შედარებით, მთავრობის მთლიანი ვალი გამოსახული ეროვნული ვალუტით გაიზარდა 8%-ით და შეადგინა</w:t>
      </w:r>
      <w:r w:rsidR="00DD52C0" w:rsidRPr="001D7CD2">
        <w:rPr>
          <w:rFonts w:ascii="Sylfaen" w:hAnsi="Sylfaen" w:cs="Sylfaen"/>
          <w:sz w:val="20"/>
          <w:szCs w:val="16"/>
          <w:lang w:val="ka-GE"/>
        </w:rPr>
        <w:t xml:space="preserve"> 17 351.2</w:t>
      </w:r>
      <w:r w:rsidRPr="001D7CD2">
        <w:rPr>
          <w:rFonts w:ascii="Sylfaen" w:hAnsi="Sylfaen" w:cs="Sylfaen"/>
          <w:sz w:val="20"/>
          <w:szCs w:val="16"/>
          <w:lang w:val="ka-GE"/>
        </w:rPr>
        <w:t xml:space="preserve"> მილიონი ლარი. თუმცა, მთავრობის მთლიანი ვალის ფარდობა</w:t>
      </w:r>
      <w:r w:rsidR="004347CB" w:rsidRPr="001D7CD2">
        <w:rPr>
          <w:rFonts w:ascii="Sylfaen" w:hAnsi="Sylfaen" w:cs="Sylfaen"/>
          <w:sz w:val="20"/>
          <w:szCs w:val="16"/>
        </w:rPr>
        <w:t xml:space="preserve"> ნომინალურ</w:t>
      </w:r>
      <w:r w:rsidRPr="001D7CD2">
        <w:rPr>
          <w:rFonts w:ascii="Sylfaen" w:hAnsi="Sylfaen" w:cs="Sylfaen"/>
          <w:sz w:val="20"/>
          <w:szCs w:val="16"/>
          <w:lang w:val="ka-GE"/>
        </w:rPr>
        <w:t xml:space="preserve"> მშპ</w:t>
      </w:r>
      <w:r w:rsidR="009921E7" w:rsidRPr="001D7CD2">
        <w:rPr>
          <w:rFonts w:ascii="Sylfaen" w:hAnsi="Sylfaen" w:cs="Sylfaen"/>
          <w:sz w:val="20"/>
          <w:szCs w:val="16"/>
          <w:lang w:val="ka-GE"/>
        </w:rPr>
        <w:t>-თან</w:t>
      </w:r>
      <w:r w:rsidRPr="001D7CD2">
        <w:rPr>
          <w:rFonts w:ascii="Sylfaen" w:hAnsi="Sylfaen" w:cs="Sylfaen"/>
          <w:sz w:val="20"/>
          <w:szCs w:val="16"/>
          <w:lang w:val="ka-GE"/>
        </w:rPr>
        <w:t xml:space="preserve"> მცირედით შემცირდა და </w:t>
      </w:r>
      <w:r w:rsidR="0049754C" w:rsidRPr="001D7CD2">
        <w:rPr>
          <w:rFonts w:ascii="Sylfaen" w:hAnsi="Sylfaen" w:cs="Sylfaen"/>
          <w:sz w:val="20"/>
          <w:szCs w:val="16"/>
          <w:lang w:val="ka-GE"/>
        </w:rPr>
        <w:t>შეადგინა</w:t>
      </w:r>
      <w:r w:rsidR="009921E7" w:rsidRPr="001D7CD2">
        <w:rPr>
          <w:rFonts w:ascii="Sylfaen" w:hAnsi="Sylfaen" w:cs="Sylfaen"/>
          <w:sz w:val="20"/>
          <w:szCs w:val="16"/>
          <w:lang w:val="ka-GE"/>
        </w:rPr>
        <w:t xml:space="preserve"> 42.2%.</w:t>
      </w:r>
      <w:r w:rsidRPr="001D7CD2">
        <w:rPr>
          <w:rFonts w:ascii="Sylfaen" w:hAnsi="Sylfaen" w:cs="Sylfaen"/>
          <w:sz w:val="20"/>
          <w:szCs w:val="16"/>
          <w:lang w:val="ka-GE"/>
        </w:rPr>
        <w:t xml:space="preserve"> აღნიშნული მაჩვნებელი 2017 წლის ბოლოს მდგომარეობით </w:t>
      </w:r>
      <w:r w:rsidR="0049754C" w:rsidRPr="001D7CD2">
        <w:rPr>
          <w:rFonts w:ascii="Sylfaen" w:hAnsi="Sylfaen" w:cs="Sylfaen"/>
          <w:sz w:val="20"/>
          <w:szCs w:val="16"/>
          <w:lang w:val="ka-GE"/>
        </w:rPr>
        <w:t>იყო</w:t>
      </w:r>
      <w:r w:rsidRPr="001D7CD2">
        <w:rPr>
          <w:rFonts w:ascii="Sylfaen" w:hAnsi="Sylfaen" w:cs="Sylfaen"/>
          <w:sz w:val="20"/>
          <w:szCs w:val="16"/>
          <w:lang w:val="ka-GE"/>
        </w:rPr>
        <w:t xml:space="preserve"> 42.4%.</w:t>
      </w:r>
    </w:p>
    <w:p w:rsidR="007D79E5" w:rsidRPr="001D7CD2" w:rsidRDefault="007D79E5" w:rsidP="00712CC6">
      <w:pPr>
        <w:autoSpaceDE w:val="0"/>
        <w:autoSpaceDN w:val="0"/>
        <w:adjustRightInd w:val="0"/>
        <w:spacing w:after="0" w:line="240" w:lineRule="auto"/>
        <w:jc w:val="both"/>
        <w:rPr>
          <w:rFonts w:ascii="Sylfaen" w:hAnsi="Sylfaen" w:cs="Sylfaen"/>
          <w:sz w:val="20"/>
          <w:szCs w:val="16"/>
          <w:lang w:val="ka-GE"/>
        </w:rPr>
      </w:pPr>
    </w:p>
    <w:tbl>
      <w:tblPr>
        <w:tblStyle w:val="TableGridLight"/>
        <w:tblW w:w="6284" w:type="dxa"/>
        <w:tblLook w:val="04A0" w:firstRow="1" w:lastRow="0" w:firstColumn="1" w:lastColumn="0" w:noHBand="0" w:noVBand="1"/>
      </w:tblPr>
      <w:tblGrid>
        <w:gridCol w:w="2788"/>
        <w:gridCol w:w="2052"/>
        <w:gridCol w:w="1444"/>
      </w:tblGrid>
      <w:tr w:rsidR="007D79E5" w:rsidRPr="001D7CD2" w:rsidTr="004347CB">
        <w:trPr>
          <w:trHeight w:val="71"/>
        </w:trPr>
        <w:tc>
          <w:tcPr>
            <w:tcW w:w="2788" w:type="dxa"/>
            <w:noWrap/>
            <w:hideMark/>
          </w:tcPr>
          <w:p w:rsidR="007D79E5" w:rsidRPr="001D7CD2" w:rsidRDefault="007D79E5" w:rsidP="009921E7">
            <w:pPr>
              <w:jc w:val="center"/>
              <w:rPr>
                <w:rFonts w:ascii="BPG Arial" w:eastAsia="Calibri" w:hAnsi="BPG Arial" w:cs="BPG Arial"/>
                <w:bCs/>
                <w:sz w:val="20"/>
                <w:szCs w:val="20"/>
                <w:lang w:val="ka-GE"/>
              </w:rPr>
            </w:pPr>
          </w:p>
        </w:tc>
        <w:tc>
          <w:tcPr>
            <w:tcW w:w="2052" w:type="dxa"/>
            <w:noWrap/>
            <w:hideMark/>
          </w:tcPr>
          <w:p w:rsidR="007D79E5" w:rsidRPr="001D7CD2" w:rsidRDefault="007D79E5" w:rsidP="009921E7">
            <w:pPr>
              <w:jc w:val="center"/>
              <w:rPr>
                <w:rFonts w:ascii="Sylfaen" w:hAnsi="Sylfaen" w:cs="Sylfaen"/>
                <w:bCs/>
                <w:sz w:val="20"/>
                <w:szCs w:val="16"/>
                <w:lang w:val="ka-GE"/>
              </w:rPr>
            </w:pPr>
            <w:r w:rsidRPr="001D7CD2">
              <w:rPr>
                <w:rFonts w:ascii="Sylfaen" w:hAnsi="Sylfaen" w:cs="Sylfaen"/>
                <w:bCs/>
                <w:sz w:val="20"/>
                <w:szCs w:val="16"/>
                <w:lang w:val="ka-GE"/>
              </w:rPr>
              <w:t>2017</w:t>
            </w:r>
          </w:p>
        </w:tc>
        <w:tc>
          <w:tcPr>
            <w:tcW w:w="1444" w:type="dxa"/>
            <w:noWrap/>
            <w:hideMark/>
          </w:tcPr>
          <w:p w:rsidR="007D79E5" w:rsidRPr="001D7CD2" w:rsidRDefault="007D79E5" w:rsidP="009921E7">
            <w:pPr>
              <w:jc w:val="center"/>
              <w:rPr>
                <w:rFonts w:ascii="BPG Arial" w:eastAsia="Calibri" w:hAnsi="BPG Arial" w:cs="BPG Arial"/>
                <w:bCs/>
                <w:sz w:val="20"/>
                <w:szCs w:val="20"/>
                <w:lang w:val="ka-GE"/>
              </w:rPr>
            </w:pPr>
            <w:r w:rsidRPr="001D7CD2">
              <w:rPr>
                <w:rFonts w:ascii="Sylfaen" w:hAnsi="Sylfaen" w:cs="Sylfaen"/>
                <w:bCs/>
                <w:sz w:val="20"/>
                <w:szCs w:val="16"/>
                <w:lang w:val="ka-GE"/>
              </w:rPr>
              <w:t>2018</w:t>
            </w:r>
          </w:p>
        </w:tc>
      </w:tr>
      <w:tr w:rsidR="007D79E5" w:rsidRPr="001D7CD2" w:rsidTr="004347CB">
        <w:trPr>
          <w:trHeight w:val="215"/>
        </w:trPr>
        <w:tc>
          <w:tcPr>
            <w:tcW w:w="2788" w:type="dxa"/>
            <w:hideMark/>
          </w:tcPr>
          <w:p w:rsidR="007D79E5" w:rsidRPr="001D7CD2" w:rsidRDefault="007D79E5" w:rsidP="009921E7">
            <w:pPr>
              <w:rPr>
                <w:rFonts w:ascii="Sylfaen" w:hAnsi="Sylfaen" w:cs="Sylfaen"/>
                <w:bCs/>
                <w:sz w:val="20"/>
                <w:szCs w:val="16"/>
                <w:lang w:val="ka-GE"/>
              </w:rPr>
            </w:pPr>
            <w:r w:rsidRPr="001D7CD2">
              <w:rPr>
                <w:rFonts w:ascii="Sylfaen" w:hAnsi="Sylfaen" w:cs="Sylfaen"/>
                <w:bCs/>
                <w:sz w:val="20"/>
                <w:szCs w:val="16"/>
                <w:lang w:val="ka-GE"/>
              </w:rPr>
              <w:t xml:space="preserve">მთავრობის  საგარეო ვალი %-ად ნომინალურ მშპ-თან  </w:t>
            </w:r>
          </w:p>
        </w:tc>
        <w:tc>
          <w:tcPr>
            <w:tcW w:w="2052" w:type="dxa"/>
            <w:noWrap/>
            <w:hideMark/>
          </w:tcPr>
          <w:p w:rsidR="007D79E5" w:rsidRPr="001D7CD2" w:rsidRDefault="007D79E5" w:rsidP="009921E7">
            <w:pPr>
              <w:jc w:val="center"/>
              <w:rPr>
                <w:rFonts w:ascii="Sylfaen" w:hAnsi="Sylfaen" w:cs="Sylfaen"/>
                <w:bCs/>
                <w:sz w:val="20"/>
                <w:szCs w:val="16"/>
                <w:lang w:val="ka-GE"/>
              </w:rPr>
            </w:pPr>
            <w:r w:rsidRPr="001D7CD2">
              <w:rPr>
                <w:rFonts w:ascii="Sylfaen" w:hAnsi="Sylfaen" w:cs="Sylfaen"/>
                <w:bCs/>
                <w:sz w:val="20"/>
                <w:szCs w:val="16"/>
                <w:lang w:val="ka-GE"/>
              </w:rPr>
              <w:t>34.9%</w:t>
            </w:r>
          </w:p>
        </w:tc>
        <w:tc>
          <w:tcPr>
            <w:tcW w:w="1444" w:type="dxa"/>
            <w:noWrap/>
            <w:hideMark/>
          </w:tcPr>
          <w:p w:rsidR="007D79E5" w:rsidRPr="001D7CD2" w:rsidRDefault="007D79E5" w:rsidP="009921E7">
            <w:pPr>
              <w:jc w:val="center"/>
              <w:rPr>
                <w:rFonts w:ascii="Sylfaen" w:hAnsi="Sylfaen" w:cs="Sylfaen"/>
                <w:bCs/>
                <w:sz w:val="20"/>
                <w:szCs w:val="16"/>
                <w:lang w:val="ka-GE"/>
              </w:rPr>
            </w:pPr>
            <w:r w:rsidRPr="001D7CD2">
              <w:rPr>
                <w:rFonts w:ascii="Sylfaen" w:hAnsi="Sylfaen" w:cs="Sylfaen"/>
                <w:bCs/>
                <w:sz w:val="20"/>
                <w:szCs w:val="16"/>
                <w:lang w:val="ka-GE"/>
              </w:rPr>
              <w:t>34.3%</w:t>
            </w:r>
          </w:p>
        </w:tc>
      </w:tr>
      <w:tr w:rsidR="007D79E5" w:rsidRPr="001D7CD2" w:rsidTr="004347CB">
        <w:trPr>
          <w:trHeight w:val="215"/>
        </w:trPr>
        <w:tc>
          <w:tcPr>
            <w:tcW w:w="2788" w:type="dxa"/>
            <w:hideMark/>
          </w:tcPr>
          <w:p w:rsidR="007D79E5" w:rsidRPr="001D7CD2" w:rsidRDefault="007D79E5" w:rsidP="009921E7">
            <w:pPr>
              <w:rPr>
                <w:rFonts w:ascii="Sylfaen" w:hAnsi="Sylfaen" w:cs="Sylfaen"/>
                <w:bCs/>
                <w:sz w:val="20"/>
                <w:szCs w:val="16"/>
                <w:lang w:val="ka-GE"/>
              </w:rPr>
            </w:pPr>
            <w:r w:rsidRPr="001D7CD2">
              <w:rPr>
                <w:rFonts w:ascii="Sylfaen" w:hAnsi="Sylfaen" w:cs="Sylfaen"/>
                <w:bCs/>
                <w:sz w:val="20"/>
                <w:szCs w:val="16"/>
                <w:lang w:val="ka-GE"/>
              </w:rPr>
              <w:t>მთავრობის  საშინაო ვალი %-ად ნომინალურ მშპ-თან</w:t>
            </w:r>
          </w:p>
        </w:tc>
        <w:tc>
          <w:tcPr>
            <w:tcW w:w="2052" w:type="dxa"/>
            <w:noWrap/>
            <w:hideMark/>
          </w:tcPr>
          <w:p w:rsidR="007D79E5" w:rsidRPr="001D7CD2" w:rsidRDefault="007D79E5" w:rsidP="009921E7">
            <w:pPr>
              <w:jc w:val="center"/>
              <w:rPr>
                <w:rFonts w:ascii="Sylfaen" w:hAnsi="Sylfaen" w:cs="Sylfaen"/>
                <w:bCs/>
                <w:sz w:val="20"/>
                <w:szCs w:val="16"/>
                <w:lang w:val="ka-GE"/>
              </w:rPr>
            </w:pPr>
            <w:r w:rsidRPr="001D7CD2">
              <w:rPr>
                <w:rFonts w:ascii="Sylfaen" w:hAnsi="Sylfaen" w:cs="Sylfaen"/>
                <w:bCs/>
                <w:sz w:val="20"/>
                <w:szCs w:val="16"/>
                <w:lang w:val="ka-GE"/>
              </w:rPr>
              <w:t>7.6%</w:t>
            </w:r>
          </w:p>
        </w:tc>
        <w:tc>
          <w:tcPr>
            <w:tcW w:w="1444" w:type="dxa"/>
            <w:noWrap/>
            <w:hideMark/>
          </w:tcPr>
          <w:p w:rsidR="007D79E5" w:rsidRPr="001D7CD2" w:rsidRDefault="007D79E5" w:rsidP="009921E7">
            <w:pPr>
              <w:jc w:val="center"/>
              <w:rPr>
                <w:rFonts w:ascii="Sylfaen" w:hAnsi="Sylfaen" w:cs="Sylfaen"/>
                <w:bCs/>
                <w:sz w:val="20"/>
                <w:szCs w:val="16"/>
                <w:lang w:val="ka-GE"/>
              </w:rPr>
            </w:pPr>
            <w:r w:rsidRPr="001D7CD2">
              <w:rPr>
                <w:rFonts w:ascii="Sylfaen" w:hAnsi="Sylfaen" w:cs="Sylfaen"/>
                <w:bCs/>
                <w:sz w:val="20"/>
                <w:szCs w:val="16"/>
                <w:lang w:val="ka-GE"/>
              </w:rPr>
              <w:t>7.9%</w:t>
            </w:r>
          </w:p>
        </w:tc>
      </w:tr>
      <w:tr w:rsidR="007D79E5" w:rsidRPr="005C1518" w:rsidTr="004347CB">
        <w:trPr>
          <w:trHeight w:val="147"/>
        </w:trPr>
        <w:tc>
          <w:tcPr>
            <w:tcW w:w="2788" w:type="dxa"/>
            <w:hideMark/>
          </w:tcPr>
          <w:p w:rsidR="007D79E5" w:rsidRPr="001D7CD2" w:rsidRDefault="007D79E5" w:rsidP="009921E7">
            <w:pPr>
              <w:rPr>
                <w:rFonts w:ascii="Sylfaen" w:hAnsi="Sylfaen" w:cs="Sylfaen"/>
                <w:bCs/>
                <w:sz w:val="20"/>
                <w:szCs w:val="16"/>
                <w:lang w:val="ka-GE"/>
              </w:rPr>
            </w:pPr>
            <w:r w:rsidRPr="001D7CD2">
              <w:rPr>
                <w:rFonts w:ascii="Sylfaen" w:hAnsi="Sylfaen" w:cs="Sylfaen"/>
                <w:bCs/>
                <w:sz w:val="20"/>
                <w:szCs w:val="16"/>
                <w:lang w:val="ka-GE"/>
              </w:rPr>
              <w:t>მთავრობის    მთლიანი ვალი %-ად მშპ-თან</w:t>
            </w:r>
          </w:p>
        </w:tc>
        <w:tc>
          <w:tcPr>
            <w:tcW w:w="2052" w:type="dxa"/>
            <w:noWrap/>
            <w:hideMark/>
          </w:tcPr>
          <w:p w:rsidR="007D79E5" w:rsidRPr="001D7CD2" w:rsidRDefault="007D79E5" w:rsidP="009921E7">
            <w:pPr>
              <w:jc w:val="center"/>
              <w:rPr>
                <w:rFonts w:ascii="Sylfaen" w:hAnsi="Sylfaen" w:cs="Sylfaen"/>
                <w:bCs/>
                <w:sz w:val="20"/>
                <w:szCs w:val="16"/>
                <w:lang w:val="ka-GE"/>
              </w:rPr>
            </w:pPr>
            <w:r w:rsidRPr="001D7CD2">
              <w:rPr>
                <w:rFonts w:ascii="Sylfaen" w:hAnsi="Sylfaen" w:cs="Sylfaen"/>
                <w:bCs/>
                <w:sz w:val="20"/>
                <w:szCs w:val="16"/>
                <w:lang w:val="ka-GE"/>
              </w:rPr>
              <w:t>42.4%</w:t>
            </w:r>
          </w:p>
        </w:tc>
        <w:tc>
          <w:tcPr>
            <w:tcW w:w="1444" w:type="dxa"/>
            <w:noWrap/>
            <w:hideMark/>
          </w:tcPr>
          <w:p w:rsidR="007D79E5" w:rsidRPr="001D7CD2" w:rsidRDefault="007D79E5" w:rsidP="009921E7">
            <w:pPr>
              <w:jc w:val="center"/>
              <w:rPr>
                <w:rFonts w:ascii="Sylfaen" w:hAnsi="Sylfaen" w:cs="Sylfaen"/>
                <w:bCs/>
                <w:sz w:val="20"/>
                <w:szCs w:val="16"/>
                <w:lang w:val="ka-GE"/>
              </w:rPr>
            </w:pPr>
            <w:r w:rsidRPr="001D7CD2">
              <w:rPr>
                <w:rFonts w:ascii="Sylfaen" w:hAnsi="Sylfaen" w:cs="Sylfaen"/>
                <w:bCs/>
                <w:sz w:val="20"/>
                <w:szCs w:val="16"/>
                <w:lang w:val="ka-GE"/>
              </w:rPr>
              <w:t>42.2%</w:t>
            </w:r>
          </w:p>
        </w:tc>
      </w:tr>
    </w:tbl>
    <w:p w:rsidR="007D79E5" w:rsidRDefault="007D79E5" w:rsidP="00712CC6">
      <w:pPr>
        <w:autoSpaceDE w:val="0"/>
        <w:autoSpaceDN w:val="0"/>
        <w:adjustRightInd w:val="0"/>
        <w:spacing w:after="0" w:line="240" w:lineRule="auto"/>
        <w:jc w:val="both"/>
        <w:rPr>
          <w:rFonts w:ascii="Sylfaen" w:hAnsi="Sylfaen" w:cs="Sylfaen"/>
          <w:sz w:val="20"/>
          <w:szCs w:val="16"/>
          <w:lang w:val="ka-GE"/>
        </w:rPr>
      </w:pPr>
    </w:p>
    <w:p w:rsidR="0049754C" w:rsidRDefault="009921E7" w:rsidP="009921E7">
      <w:pPr>
        <w:autoSpaceDE w:val="0"/>
        <w:autoSpaceDN w:val="0"/>
        <w:adjustRightInd w:val="0"/>
        <w:spacing w:after="0" w:line="240" w:lineRule="auto"/>
        <w:jc w:val="both"/>
        <w:rPr>
          <w:rFonts w:ascii="Sylfaen" w:hAnsi="Sylfaen" w:cs="Sylfaen"/>
          <w:sz w:val="20"/>
          <w:szCs w:val="16"/>
          <w:lang w:val="ka-GE"/>
        </w:rPr>
      </w:pPr>
      <w:r w:rsidRPr="009921E7">
        <w:rPr>
          <w:rFonts w:ascii="Sylfaen" w:hAnsi="Sylfaen" w:cs="Sylfaen"/>
          <w:sz w:val="20"/>
          <w:szCs w:val="16"/>
          <w:lang w:val="ka-GE"/>
        </w:rPr>
        <w:t xml:space="preserve">2018 </w:t>
      </w:r>
      <w:r w:rsidR="0049754C">
        <w:rPr>
          <w:rFonts w:ascii="Sylfaen" w:hAnsi="Sylfaen" w:cs="Sylfaen"/>
          <w:sz w:val="20"/>
          <w:szCs w:val="16"/>
          <w:lang w:val="ka-GE"/>
        </w:rPr>
        <w:t>წ</w:t>
      </w:r>
      <w:r w:rsidRPr="009921E7">
        <w:rPr>
          <w:rFonts w:ascii="Sylfaen" w:hAnsi="Sylfaen" w:cs="Sylfaen"/>
          <w:sz w:val="20"/>
          <w:szCs w:val="16"/>
          <w:lang w:val="ka-GE"/>
        </w:rPr>
        <w:t>ლ</w:t>
      </w:r>
      <w:r w:rsidR="0049754C">
        <w:rPr>
          <w:rFonts w:ascii="Sylfaen" w:hAnsi="Sylfaen" w:cs="Sylfaen"/>
          <w:sz w:val="20"/>
          <w:szCs w:val="16"/>
          <w:lang w:val="ka-GE"/>
        </w:rPr>
        <w:t>ი</w:t>
      </w:r>
      <w:r w:rsidRPr="009921E7">
        <w:rPr>
          <w:rFonts w:ascii="Sylfaen" w:hAnsi="Sylfaen" w:cs="Sylfaen"/>
          <w:sz w:val="20"/>
          <w:szCs w:val="16"/>
          <w:lang w:val="ka-GE"/>
        </w:rPr>
        <w:t>ს</w:t>
      </w:r>
      <w:r w:rsidR="0049754C">
        <w:rPr>
          <w:rFonts w:ascii="Sylfaen" w:hAnsi="Sylfaen" w:cs="Sylfaen"/>
          <w:sz w:val="20"/>
          <w:szCs w:val="16"/>
          <w:lang w:val="ka-GE"/>
        </w:rPr>
        <w:t xml:space="preserve"> ბოლოს 2017 წლის ბოლოსთან შედარებით, </w:t>
      </w:r>
      <w:r w:rsidRPr="009921E7">
        <w:rPr>
          <w:rFonts w:ascii="Sylfaen" w:hAnsi="Sylfaen" w:cs="Sylfaen"/>
          <w:sz w:val="20"/>
          <w:szCs w:val="16"/>
          <w:lang w:val="ka-GE"/>
        </w:rPr>
        <w:t xml:space="preserve"> </w:t>
      </w:r>
      <w:r w:rsidR="0049754C">
        <w:rPr>
          <w:rFonts w:ascii="Sylfaen" w:hAnsi="Sylfaen" w:cs="Sylfaen"/>
          <w:sz w:val="20"/>
          <w:szCs w:val="16"/>
          <w:lang w:val="ka-GE"/>
        </w:rPr>
        <w:t>ლარი მ</w:t>
      </w:r>
      <w:r w:rsidR="004347CB">
        <w:rPr>
          <w:rFonts w:ascii="Sylfaen" w:hAnsi="Sylfaen" w:cs="Sylfaen"/>
          <w:sz w:val="20"/>
          <w:szCs w:val="16"/>
          <w:lang w:val="ka-GE"/>
        </w:rPr>
        <w:t>თ</w:t>
      </w:r>
      <w:r w:rsidR="0049754C">
        <w:rPr>
          <w:rFonts w:ascii="Sylfaen" w:hAnsi="Sylfaen" w:cs="Sylfaen"/>
          <w:sz w:val="20"/>
          <w:szCs w:val="16"/>
          <w:lang w:val="ka-GE"/>
        </w:rPr>
        <w:t>ავრობის ვალის პორტფელში შემავალი უცხოური ვალუტებიდან გამყარდა ევროსთ</w:t>
      </w:r>
      <w:r w:rsidR="004347CB">
        <w:rPr>
          <w:rFonts w:ascii="Sylfaen" w:hAnsi="Sylfaen" w:cs="Sylfaen"/>
          <w:sz w:val="20"/>
          <w:szCs w:val="16"/>
          <w:lang w:val="ka-GE"/>
        </w:rPr>
        <w:t xml:space="preserve">ან </w:t>
      </w:r>
      <w:r w:rsidR="004347CB" w:rsidRPr="00607DFD">
        <w:rPr>
          <w:rFonts w:ascii="Sylfaen" w:hAnsi="Sylfaen" w:cs="Sylfaen"/>
          <w:sz w:val="20"/>
          <w:szCs w:val="16"/>
          <w:lang w:val="ka-GE"/>
        </w:rPr>
        <w:t>(EUR)</w:t>
      </w:r>
      <w:r w:rsidR="0049754C">
        <w:rPr>
          <w:rFonts w:ascii="Sylfaen" w:hAnsi="Sylfaen" w:cs="Sylfaen"/>
          <w:sz w:val="20"/>
          <w:szCs w:val="16"/>
          <w:lang w:val="ka-GE"/>
        </w:rPr>
        <w:t xml:space="preserve"> და ჩინურ იუანთან მიმართებაში</w:t>
      </w:r>
      <w:r w:rsidR="004347CB" w:rsidRPr="00607DFD">
        <w:rPr>
          <w:rFonts w:ascii="Sylfaen" w:hAnsi="Sylfaen" w:cs="Sylfaen"/>
          <w:sz w:val="20"/>
          <w:szCs w:val="16"/>
          <w:lang w:val="ka-GE"/>
        </w:rPr>
        <w:t xml:space="preserve"> (CNY)</w:t>
      </w:r>
      <w:r w:rsidR="0049754C">
        <w:rPr>
          <w:rFonts w:ascii="Sylfaen" w:hAnsi="Sylfaen" w:cs="Sylfaen"/>
          <w:sz w:val="20"/>
          <w:szCs w:val="16"/>
          <w:lang w:val="ka-GE"/>
        </w:rPr>
        <w:t>, ხოლო გაუფასურდა აშშ დოლარის</w:t>
      </w:r>
      <w:r w:rsidR="004347CB" w:rsidRPr="00607DFD">
        <w:rPr>
          <w:rFonts w:ascii="Sylfaen" w:hAnsi="Sylfaen" w:cs="Sylfaen"/>
          <w:sz w:val="20"/>
          <w:szCs w:val="16"/>
          <w:lang w:val="ka-GE"/>
        </w:rPr>
        <w:t xml:space="preserve"> (USD)</w:t>
      </w:r>
      <w:r w:rsidR="0049754C">
        <w:rPr>
          <w:rFonts w:ascii="Sylfaen" w:hAnsi="Sylfaen" w:cs="Sylfaen"/>
          <w:sz w:val="20"/>
          <w:szCs w:val="16"/>
          <w:lang w:val="ka-GE"/>
        </w:rPr>
        <w:t xml:space="preserve">, სპეციალური ნასესხობის </w:t>
      </w:r>
      <w:r w:rsidR="004347CB">
        <w:rPr>
          <w:rFonts w:ascii="Sylfaen" w:hAnsi="Sylfaen" w:cs="Sylfaen"/>
          <w:sz w:val="20"/>
          <w:szCs w:val="16"/>
          <w:lang w:val="ka-GE"/>
        </w:rPr>
        <w:t>უფლებ</w:t>
      </w:r>
      <w:r w:rsidR="0049754C">
        <w:rPr>
          <w:rFonts w:ascii="Sylfaen" w:hAnsi="Sylfaen" w:cs="Sylfaen"/>
          <w:sz w:val="20"/>
          <w:szCs w:val="16"/>
          <w:lang w:val="ka-GE"/>
        </w:rPr>
        <w:t>ის</w:t>
      </w:r>
      <w:r w:rsidR="004347CB" w:rsidRPr="00607DFD">
        <w:rPr>
          <w:rFonts w:ascii="Sylfaen" w:hAnsi="Sylfaen" w:cs="Sylfaen"/>
          <w:sz w:val="20"/>
          <w:szCs w:val="16"/>
          <w:lang w:val="ka-GE"/>
        </w:rPr>
        <w:t xml:space="preserve"> (SDR),</w:t>
      </w:r>
      <w:r w:rsidR="0049754C">
        <w:rPr>
          <w:rFonts w:ascii="Sylfaen" w:hAnsi="Sylfaen" w:cs="Sylfaen"/>
          <w:sz w:val="20"/>
          <w:szCs w:val="16"/>
          <w:lang w:val="ka-GE"/>
        </w:rPr>
        <w:t xml:space="preserve"> იაპონური იენის</w:t>
      </w:r>
      <w:r w:rsidR="004347CB" w:rsidRPr="00607DFD">
        <w:rPr>
          <w:rFonts w:ascii="Sylfaen" w:hAnsi="Sylfaen" w:cs="Sylfaen"/>
          <w:sz w:val="20"/>
          <w:szCs w:val="16"/>
          <w:lang w:val="ka-GE"/>
        </w:rPr>
        <w:t xml:space="preserve"> (JPY)</w:t>
      </w:r>
      <w:r w:rsidR="0049754C">
        <w:rPr>
          <w:rFonts w:ascii="Sylfaen" w:hAnsi="Sylfaen" w:cs="Sylfaen"/>
          <w:sz w:val="20"/>
          <w:szCs w:val="16"/>
          <w:lang w:val="ka-GE"/>
        </w:rPr>
        <w:t xml:space="preserve"> და ქუვეითური დინარის </w:t>
      </w:r>
      <w:r w:rsidR="004347CB" w:rsidRPr="00607DFD">
        <w:rPr>
          <w:rFonts w:ascii="Sylfaen" w:hAnsi="Sylfaen" w:cs="Sylfaen"/>
          <w:sz w:val="20"/>
          <w:szCs w:val="16"/>
          <w:lang w:val="ka-GE"/>
        </w:rPr>
        <w:t xml:space="preserve">(KWD) </w:t>
      </w:r>
      <w:r w:rsidR="0049754C">
        <w:rPr>
          <w:rFonts w:ascii="Sylfaen" w:hAnsi="Sylfaen" w:cs="Sylfaen"/>
          <w:sz w:val="20"/>
          <w:szCs w:val="16"/>
          <w:lang w:val="ka-GE"/>
        </w:rPr>
        <w:t>მიმართ</w:t>
      </w:r>
      <w:r w:rsidR="004347CB">
        <w:rPr>
          <w:rFonts w:ascii="Sylfaen" w:hAnsi="Sylfaen" w:cs="Sylfaen"/>
          <w:sz w:val="20"/>
          <w:szCs w:val="16"/>
          <w:lang w:val="ka-GE"/>
        </w:rPr>
        <w:t>.</w:t>
      </w:r>
    </w:p>
    <w:p w:rsidR="0049754C" w:rsidRDefault="0049754C" w:rsidP="009921E7">
      <w:pPr>
        <w:autoSpaceDE w:val="0"/>
        <w:autoSpaceDN w:val="0"/>
        <w:adjustRightInd w:val="0"/>
        <w:spacing w:after="0" w:line="240" w:lineRule="auto"/>
        <w:jc w:val="both"/>
        <w:rPr>
          <w:rFonts w:ascii="Sylfaen" w:hAnsi="Sylfaen" w:cs="Sylfaen"/>
          <w:sz w:val="20"/>
          <w:szCs w:val="16"/>
          <w:lang w:val="ka-GE"/>
        </w:rPr>
      </w:pPr>
    </w:p>
    <w:tbl>
      <w:tblPr>
        <w:tblStyle w:val="PlainTable2"/>
        <w:tblW w:w="3308" w:type="pct"/>
        <w:tblLayout w:type="fixed"/>
        <w:tblLook w:val="04A0" w:firstRow="1" w:lastRow="0" w:firstColumn="1" w:lastColumn="0" w:noHBand="0" w:noVBand="1"/>
      </w:tblPr>
      <w:tblGrid>
        <w:gridCol w:w="1779"/>
        <w:gridCol w:w="1443"/>
        <w:gridCol w:w="1612"/>
        <w:gridCol w:w="2311"/>
      </w:tblGrid>
      <w:tr w:rsidR="0049754C" w:rsidRPr="00817EC2" w:rsidTr="004347CB">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245" w:type="pct"/>
          </w:tcPr>
          <w:p w:rsidR="0049754C" w:rsidRPr="004347CB" w:rsidRDefault="0049754C" w:rsidP="005C1518">
            <w:pPr>
              <w:jc w:val="center"/>
              <w:rPr>
                <w:rFonts w:ascii="Sylfaen" w:hAnsi="Sylfaen" w:cs="Sylfaen"/>
                <w:b w:val="0"/>
                <w:sz w:val="20"/>
                <w:szCs w:val="16"/>
                <w:lang w:val="ka-GE"/>
              </w:rPr>
            </w:pPr>
            <w:r w:rsidRPr="004347CB">
              <w:rPr>
                <w:rFonts w:ascii="Sylfaen" w:hAnsi="Sylfaen" w:cs="Sylfaen"/>
                <w:b w:val="0"/>
                <w:sz w:val="20"/>
                <w:szCs w:val="16"/>
                <w:lang w:val="ka-GE"/>
              </w:rPr>
              <w:t>ვალუტები</w:t>
            </w:r>
          </w:p>
        </w:tc>
        <w:tc>
          <w:tcPr>
            <w:tcW w:w="1010" w:type="pct"/>
          </w:tcPr>
          <w:p w:rsidR="0049754C" w:rsidRPr="004347CB" w:rsidRDefault="0049754C" w:rsidP="005C1518">
            <w:pPr>
              <w:jc w:val="center"/>
              <w:cnfStyle w:val="100000000000" w:firstRow="1" w:lastRow="0" w:firstColumn="0" w:lastColumn="0" w:oddVBand="0" w:evenVBand="0" w:oddHBand="0" w:evenHBand="0" w:firstRowFirstColumn="0" w:firstRowLastColumn="0" w:lastRowFirstColumn="0" w:lastRowLastColumn="0"/>
              <w:rPr>
                <w:rFonts w:ascii="Sylfaen" w:hAnsi="Sylfaen" w:cs="Sylfaen"/>
                <w:b w:val="0"/>
                <w:sz w:val="20"/>
                <w:szCs w:val="16"/>
                <w:lang w:val="ka-GE"/>
              </w:rPr>
            </w:pPr>
            <w:r w:rsidRPr="004347CB">
              <w:rPr>
                <w:rFonts w:ascii="Sylfaen" w:hAnsi="Sylfaen" w:cs="Sylfaen"/>
                <w:b w:val="0"/>
                <w:sz w:val="20"/>
                <w:szCs w:val="16"/>
                <w:lang w:val="ka-GE"/>
              </w:rPr>
              <w:t>2017</w:t>
            </w:r>
          </w:p>
        </w:tc>
        <w:tc>
          <w:tcPr>
            <w:tcW w:w="1128" w:type="pct"/>
          </w:tcPr>
          <w:p w:rsidR="0049754C" w:rsidRPr="004347CB" w:rsidRDefault="0049754C" w:rsidP="005C1518">
            <w:pPr>
              <w:jc w:val="center"/>
              <w:cnfStyle w:val="100000000000" w:firstRow="1" w:lastRow="0" w:firstColumn="0" w:lastColumn="0" w:oddVBand="0" w:evenVBand="0" w:oddHBand="0" w:evenHBand="0" w:firstRowFirstColumn="0" w:firstRowLastColumn="0" w:lastRowFirstColumn="0" w:lastRowLastColumn="0"/>
              <w:rPr>
                <w:rFonts w:ascii="Sylfaen" w:hAnsi="Sylfaen" w:cs="Sylfaen"/>
                <w:b w:val="0"/>
                <w:sz w:val="20"/>
                <w:szCs w:val="16"/>
                <w:lang w:val="ka-GE"/>
              </w:rPr>
            </w:pPr>
            <w:r w:rsidRPr="004347CB">
              <w:rPr>
                <w:rFonts w:ascii="Sylfaen" w:hAnsi="Sylfaen" w:cs="Sylfaen"/>
                <w:b w:val="0"/>
                <w:sz w:val="20"/>
                <w:szCs w:val="16"/>
                <w:lang w:val="ka-GE"/>
              </w:rPr>
              <w:t>2018</w:t>
            </w:r>
          </w:p>
        </w:tc>
        <w:tc>
          <w:tcPr>
            <w:tcW w:w="1617" w:type="pct"/>
          </w:tcPr>
          <w:p w:rsidR="0049754C" w:rsidRPr="004347CB" w:rsidRDefault="0049754C" w:rsidP="005C1518">
            <w:pPr>
              <w:jc w:val="center"/>
              <w:cnfStyle w:val="100000000000" w:firstRow="1" w:lastRow="0" w:firstColumn="0" w:lastColumn="0" w:oddVBand="0" w:evenVBand="0" w:oddHBand="0" w:evenHBand="0" w:firstRowFirstColumn="0" w:firstRowLastColumn="0" w:lastRowFirstColumn="0" w:lastRowLastColumn="0"/>
              <w:rPr>
                <w:rFonts w:ascii="Sylfaen" w:hAnsi="Sylfaen" w:cs="Sylfaen"/>
                <w:b w:val="0"/>
                <w:sz w:val="20"/>
                <w:szCs w:val="16"/>
                <w:lang w:val="ka-GE"/>
              </w:rPr>
            </w:pPr>
            <w:r w:rsidRPr="004347CB">
              <w:rPr>
                <w:rFonts w:ascii="Sylfaen" w:hAnsi="Sylfaen" w:cs="Sylfaen"/>
                <w:b w:val="0"/>
                <w:sz w:val="20"/>
                <w:szCs w:val="16"/>
                <w:lang w:val="ka-GE"/>
              </w:rPr>
              <w:t>% ცვლილება</w:t>
            </w:r>
          </w:p>
        </w:tc>
      </w:tr>
      <w:tr w:rsidR="0049754C" w:rsidRPr="00817EC2" w:rsidTr="004347CB">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245" w:type="pct"/>
          </w:tcPr>
          <w:p w:rsidR="0049754C" w:rsidRPr="004347CB" w:rsidRDefault="0049754C" w:rsidP="005C1518">
            <w:pPr>
              <w:jc w:val="center"/>
              <w:rPr>
                <w:rFonts w:ascii="Sylfaen" w:hAnsi="Sylfaen" w:cs="Sylfaen"/>
                <w:b w:val="0"/>
                <w:sz w:val="20"/>
                <w:szCs w:val="16"/>
                <w:lang w:val="ka-GE"/>
              </w:rPr>
            </w:pPr>
            <w:r w:rsidRPr="004347CB">
              <w:rPr>
                <w:rFonts w:ascii="Sylfaen" w:hAnsi="Sylfaen" w:cs="Sylfaen"/>
                <w:b w:val="0"/>
                <w:sz w:val="20"/>
                <w:szCs w:val="16"/>
                <w:lang w:val="ka-GE"/>
              </w:rPr>
              <w:t>EUR/GEL</w:t>
            </w:r>
          </w:p>
        </w:tc>
        <w:tc>
          <w:tcPr>
            <w:tcW w:w="1010" w:type="pct"/>
          </w:tcPr>
          <w:p w:rsidR="0049754C" w:rsidRPr="004347CB" w:rsidRDefault="0049754C" w:rsidP="005C1518">
            <w:pPr>
              <w:jc w:val="center"/>
              <w:cnfStyle w:val="000000100000" w:firstRow="0" w:lastRow="0" w:firstColumn="0" w:lastColumn="0" w:oddVBand="0" w:evenVBand="0" w:oddHBand="1" w:evenHBand="0" w:firstRowFirstColumn="0" w:firstRowLastColumn="0" w:lastRowFirstColumn="0" w:lastRowLastColumn="0"/>
              <w:rPr>
                <w:rFonts w:ascii="Sylfaen" w:hAnsi="Sylfaen" w:cs="Sylfaen"/>
                <w:bCs/>
                <w:sz w:val="20"/>
                <w:szCs w:val="16"/>
                <w:lang w:val="ka-GE"/>
              </w:rPr>
            </w:pPr>
            <w:r w:rsidRPr="004347CB">
              <w:rPr>
                <w:rFonts w:ascii="Sylfaen" w:hAnsi="Sylfaen" w:cs="Sylfaen"/>
                <w:bCs/>
                <w:sz w:val="20"/>
                <w:szCs w:val="16"/>
                <w:lang w:val="ka-GE"/>
              </w:rPr>
              <w:t>3.104</w:t>
            </w:r>
          </w:p>
        </w:tc>
        <w:tc>
          <w:tcPr>
            <w:tcW w:w="1128" w:type="pct"/>
          </w:tcPr>
          <w:p w:rsidR="0049754C" w:rsidRPr="004347CB" w:rsidRDefault="0049754C" w:rsidP="005C1518">
            <w:pPr>
              <w:jc w:val="center"/>
              <w:cnfStyle w:val="000000100000" w:firstRow="0" w:lastRow="0" w:firstColumn="0" w:lastColumn="0" w:oddVBand="0" w:evenVBand="0" w:oddHBand="1" w:evenHBand="0" w:firstRowFirstColumn="0" w:firstRowLastColumn="0" w:lastRowFirstColumn="0" w:lastRowLastColumn="0"/>
              <w:rPr>
                <w:rFonts w:ascii="Sylfaen" w:hAnsi="Sylfaen" w:cs="Sylfaen"/>
                <w:bCs/>
                <w:sz w:val="20"/>
                <w:szCs w:val="16"/>
                <w:lang w:val="ka-GE"/>
              </w:rPr>
            </w:pPr>
            <w:r w:rsidRPr="004347CB">
              <w:rPr>
                <w:rFonts w:ascii="Sylfaen" w:hAnsi="Sylfaen" w:cs="Sylfaen"/>
                <w:bCs/>
                <w:sz w:val="20"/>
                <w:szCs w:val="16"/>
                <w:lang w:val="ka-GE"/>
              </w:rPr>
              <w:t>3.070</w:t>
            </w:r>
          </w:p>
        </w:tc>
        <w:tc>
          <w:tcPr>
            <w:tcW w:w="1617" w:type="pct"/>
          </w:tcPr>
          <w:p w:rsidR="0049754C" w:rsidRPr="004347CB" w:rsidRDefault="0049754C" w:rsidP="005C1518">
            <w:pPr>
              <w:jc w:val="center"/>
              <w:cnfStyle w:val="000000100000" w:firstRow="0" w:lastRow="0" w:firstColumn="0" w:lastColumn="0" w:oddVBand="0" w:evenVBand="0" w:oddHBand="1" w:evenHBand="0" w:firstRowFirstColumn="0" w:firstRowLastColumn="0" w:lastRowFirstColumn="0" w:lastRowLastColumn="0"/>
              <w:rPr>
                <w:rFonts w:ascii="Sylfaen" w:hAnsi="Sylfaen" w:cs="Sylfaen"/>
                <w:bCs/>
                <w:sz w:val="20"/>
                <w:szCs w:val="16"/>
                <w:lang w:val="ka-GE"/>
              </w:rPr>
            </w:pPr>
            <w:r w:rsidRPr="004347CB">
              <w:rPr>
                <w:rFonts w:ascii="Sylfaen" w:hAnsi="Sylfaen" w:cs="Sylfaen"/>
                <w:bCs/>
                <w:sz w:val="20"/>
                <w:szCs w:val="16"/>
                <w:lang w:val="ka-GE"/>
              </w:rPr>
              <w:t>-1.1%</w:t>
            </w:r>
          </w:p>
        </w:tc>
      </w:tr>
      <w:tr w:rsidR="0049754C" w:rsidRPr="00817EC2" w:rsidTr="004347CB">
        <w:trPr>
          <w:trHeight w:val="262"/>
        </w:trPr>
        <w:tc>
          <w:tcPr>
            <w:cnfStyle w:val="001000000000" w:firstRow="0" w:lastRow="0" w:firstColumn="1" w:lastColumn="0" w:oddVBand="0" w:evenVBand="0" w:oddHBand="0" w:evenHBand="0" w:firstRowFirstColumn="0" w:firstRowLastColumn="0" w:lastRowFirstColumn="0" w:lastRowLastColumn="0"/>
            <w:tcW w:w="1245" w:type="pct"/>
          </w:tcPr>
          <w:p w:rsidR="0049754C" w:rsidRPr="004347CB" w:rsidRDefault="0049754C" w:rsidP="005C1518">
            <w:pPr>
              <w:jc w:val="center"/>
              <w:rPr>
                <w:rFonts w:ascii="Sylfaen" w:hAnsi="Sylfaen" w:cs="Sylfaen"/>
                <w:b w:val="0"/>
                <w:sz w:val="20"/>
                <w:szCs w:val="16"/>
                <w:lang w:val="ka-GE"/>
              </w:rPr>
            </w:pPr>
            <w:r w:rsidRPr="004347CB">
              <w:rPr>
                <w:rFonts w:ascii="Sylfaen" w:hAnsi="Sylfaen" w:cs="Sylfaen"/>
                <w:b w:val="0"/>
                <w:sz w:val="20"/>
                <w:szCs w:val="16"/>
                <w:lang w:val="ka-GE"/>
              </w:rPr>
              <w:t>SDR/GEL</w:t>
            </w:r>
          </w:p>
        </w:tc>
        <w:tc>
          <w:tcPr>
            <w:tcW w:w="1010" w:type="pct"/>
          </w:tcPr>
          <w:p w:rsidR="0049754C" w:rsidRPr="004347CB" w:rsidRDefault="0049754C" w:rsidP="005C1518">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Cs/>
                <w:sz w:val="20"/>
                <w:szCs w:val="16"/>
                <w:lang w:val="ka-GE"/>
              </w:rPr>
            </w:pPr>
            <w:r w:rsidRPr="004347CB">
              <w:rPr>
                <w:rFonts w:ascii="Sylfaen" w:hAnsi="Sylfaen" w:cs="Sylfaen"/>
                <w:bCs/>
                <w:sz w:val="20"/>
                <w:szCs w:val="16"/>
                <w:lang w:val="ka-GE"/>
              </w:rPr>
              <w:t>3.692</w:t>
            </w:r>
          </w:p>
        </w:tc>
        <w:tc>
          <w:tcPr>
            <w:tcW w:w="1128" w:type="pct"/>
          </w:tcPr>
          <w:p w:rsidR="0049754C" w:rsidRPr="004347CB" w:rsidRDefault="0049754C" w:rsidP="005C1518">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Cs/>
                <w:sz w:val="20"/>
                <w:szCs w:val="16"/>
                <w:lang w:val="ka-GE"/>
              </w:rPr>
            </w:pPr>
            <w:r w:rsidRPr="004347CB">
              <w:rPr>
                <w:rFonts w:ascii="Sylfaen" w:hAnsi="Sylfaen" w:cs="Sylfaen"/>
                <w:bCs/>
                <w:sz w:val="20"/>
                <w:szCs w:val="16"/>
                <w:lang w:val="ka-GE"/>
              </w:rPr>
              <w:t>3.723</w:t>
            </w:r>
          </w:p>
        </w:tc>
        <w:tc>
          <w:tcPr>
            <w:tcW w:w="1617" w:type="pct"/>
          </w:tcPr>
          <w:p w:rsidR="0049754C" w:rsidRPr="004347CB" w:rsidRDefault="0049754C" w:rsidP="005C1518">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Cs/>
                <w:sz w:val="20"/>
                <w:szCs w:val="16"/>
                <w:lang w:val="ka-GE"/>
              </w:rPr>
            </w:pPr>
            <w:r w:rsidRPr="004347CB">
              <w:rPr>
                <w:rFonts w:ascii="Sylfaen" w:hAnsi="Sylfaen" w:cs="Sylfaen"/>
                <w:bCs/>
                <w:sz w:val="20"/>
                <w:szCs w:val="16"/>
                <w:lang w:val="ka-GE"/>
              </w:rPr>
              <w:t>0.8%</w:t>
            </w:r>
          </w:p>
        </w:tc>
      </w:tr>
      <w:tr w:rsidR="0049754C" w:rsidRPr="00817EC2" w:rsidTr="004347CB">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245" w:type="pct"/>
          </w:tcPr>
          <w:p w:rsidR="0049754C" w:rsidRPr="004347CB" w:rsidRDefault="0049754C" w:rsidP="005C1518">
            <w:pPr>
              <w:jc w:val="center"/>
              <w:rPr>
                <w:rFonts w:ascii="Sylfaen" w:hAnsi="Sylfaen" w:cs="Sylfaen"/>
                <w:b w:val="0"/>
                <w:sz w:val="20"/>
                <w:szCs w:val="16"/>
                <w:lang w:val="ka-GE"/>
              </w:rPr>
            </w:pPr>
            <w:r w:rsidRPr="004347CB">
              <w:rPr>
                <w:rFonts w:ascii="Sylfaen" w:hAnsi="Sylfaen" w:cs="Sylfaen"/>
                <w:b w:val="0"/>
                <w:sz w:val="20"/>
                <w:szCs w:val="16"/>
                <w:lang w:val="ka-GE"/>
              </w:rPr>
              <w:t>CNY/GEL</w:t>
            </w:r>
          </w:p>
        </w:tc>
        <w:tc>
          <w:tcPr>
            <w:tcW w:w="1010" w:type="pct"/>
          </w:tcPr>
          <w:p w:rsidR="0049754C" w:rsidRPr="004347CB" w:rsidRDefault="0049754C" w:rsidP="005C1518">
            <w:pPr>
              <w:jc w:val="center"/>
              <w:cnfStyle w:val="000000100000" w:firstRow="0" w:lastRow="0" w:firstColumn="0" w:lastColumn="0" w:oddVBand="0" w:evenVBand="0" w:oddHBand="1" w:evenHBand="0" w:firstRowFirstColumn="0" w:firstRowLastColumn="0" w:lastRowFirstColumn="0" w:lastRowLastColumn="0"/>
              <w:rPr>
                <w:rFonts w:ascii="Sylfaen" w:hAnsi="Sylfaen" w:cs="Sylfaen"/>
                <w:bCs/>
                <w:sz w:val="20"/>
                <w:szCs w:val="16"/>
                <w:lang w:val="ka-GE"/>
              </w:rPr>
            </w:pPr>
            <w:r w:rsidRPr="004347CB">
              <w:rPr>
                <w:rFonts w:ascii="Sylfaen" w:hAnsi="Sylfaen" w:cs="Sylfaen"/>
                <w:bCs/>
                <w:sz w:val="20"/>
                <w:szCs w:val="16"/>
                <w:lang w:val="ka-GE"/>
              </w:rPr>
              <w:t>0.398</w:t>
            </w:r>
          </w:p>
        </w:tc>
        <w:tc>
          <w:tcPr>
            <w:tcW w:w="1128" w:type="pct"/>
          </w:tcPr>
          <w:p w:rsidR="0049754C" w:rsidRPr="004347CB" w:rsidRDefault="0049754C" w:rsidP="005C1518">
            <w:pPr>
              <w:jc w:val="center"/>
              <w:cnfStyle w:val="000000100000" w:firstRow="0" w:lastRow="0" w:firstColumn="0" w:lastColumn="0" w:oddVBand="0" w:evenVBand="0" w:oddHBand="1" w:evenHBand="0" w:firstRowFirstColumn="0" w:firstRowLastColumn="0" w:lastRowFirstColumn="0" w:lastRowLastColumn="0"/>
              <w:rPr>
                <w:rFonts w:ascii="Sylfaen" w:hAnsi="Sylfaen" w:cs="Sylfaen"/>
                <w:bCs/>
                <w:sz w:val="20"/>
                <w:szCs w:val="16"/>
                <w:lang w:val="ka-GE"/>
              </w:rPr>
            </w:pPr>
            <w:r w:rsidRPr="004347CB">
              <w:rPr>
                <w:rFonts w:ascii="Sylfaen" w:hAnsi="Sylfaen" w:cs="Sylfaen"/>
                <w:bCs/>
                <w:sz w:val="20"/>
                <w:szCs w:val="16"/>
                <w:lang w:val="ka-GE"/>
              </w:rPr>
              <w:t>0.390</w:t>
            </w:r>
          </w:p>
        </w:tc>
        <w:tc>
          <w:tcPr>
            <w:tcW w:w="1617" w:type="pct"/>
          </w:tcPr>
          <w:p w:rsidR="0049754C" w:rsidRPr="004347CB" w:rsidRDefault="0049754C" w:rsidP="005C1518">
            <w:pPr>
              <w:jc w:val="center"/>
              <w:cnfStyle w:val="000000100000" w:firstRow="0" w:lastRow="0" w:firstColumn="0" w:lastColumn="0" w:oddVBand="0" w:evenVBand="0" w:oddHBand="1" w:evenHBand="0" w:firstRowFirstColumn="0" w:firstRowLastColumn="0" w:lastRowFirstColumn="0" w:lastRowLastColumn="0"/>
              <w:rPr>
                <w:rFonts w:ascii="Sylfaen" w:hAnsi="Sylfaen" w:cs="Sylfaen"/>
                <w:bCs/>
                <w:sz w:val="20"/>
                <w:szCs w:val="16"/>
                <w:lang w:val="ka-GE"/>
              </w:rPr>
            </w:pPr>
            <w:r w:rsidRPr="004347CB">
              <w:rPr>
                <w:rFonts w:ascii="Sylfaen" w:hAnsi="Sylfaen" w:cs="Sylfaen"/>
                <w:bCs/>
                <w:sz w:val="20"/>
                <w:szCs w:val="16"/>
                <w:lang w:val="ka-GE"/>
              </w:rPr>
              <w:t>-2.2%</w:t>
            </w:r>
          </w:p>
        </w:tc>
      </w:tr>
      <w:tr w:rsidR="0049754C" w:rsidRPr="003C352C" w:rsidTr="004347CB">
        <w:trPr>
          <w:trHeight w:val="262"/>
        </w:trPr>
        <w:tc>
          <w:tcPr>
            <w:cnfStyle w:val="001000000000" w:firstRow="0" w:lastRow="0" w:firstColumn="1" w:lastColumn="0" w:oddVBand="0" w:evenVBand="0" w:oddHBand="0" w:evenHBand="0" w:firstRowFirstColumn="0" w:firstRowLastColumn="0" w:lastRowFirstColumn="0" w:lastRowLastColumn="0"/>
            <w:tcW w:w="1245" w:type="pct"/>
          </w:tcPr>
          <w:p w:rsidR="0049754C" w:rsidRPr="004347CB" w:rsidRDefault="0049754C" w:rsidP="005C1518">
            <w:pPr>
              <w:jc w:val="center"/>
              <w:rPr>
                <w:rFonts w:ascii="Sylfaen" w:hAnsi="Sylfaen" w:cs="Sylfaen"/>
                <w:b w:val="0"/>
                <w:sz w:val="20"/>
                <w:szCs w:val="16"/>
                <w:lang w:val="ka-GE"/>
              </w:rPr>
            </w:pPr>
            <w:r w:rsidRPr="004347CB">
              <w:rPr>
                <w:rFonts w:ascii="Sylfaen" w:hAnsi="Sylfaen" w:cs="Sylfaen"/>
                <w:b w:val="0"/>
                <w:sz w:val="20"/>
                <w:szCs w:val="16"/>
                <w:lang w:val="ka-GE"/>
              </w:rPr>
              <w:t>JPY/GEL</w:t>
            </w:r>
          </w:p>
        </w:tc>
        <w:tc>
          <w:tcPr>
            <w:tcW w:w="1010" w:type="pct"/>
          </w:tcPr>
          <w:p w:rsidR="0049754C" w:rsidRPr="004347CB" w:rsidRDefault="0049754C" w:rsidP="005C1518">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Cs/>
                <w:sz w:val="20"/>
                <w:szCs w:val="16"/>
                <w:lang w:val="ka-GE"/>
              </w:rPr>
            </w:pPr>
            <w:r w:rsidRPr="004347CB">
              <w:rPr>
                <w:rFonts w:ascii="Sylfaen" w:hAnsi="Sylfaen" w:cs="Sylfaen"/>
                <w:bCs/>
                <w:sz w:val="20"/>
                <w:szCs w:val="16"/>
                <w:lang w:val="ka-GE"/>
              </w:rPr>
              <w:t>0.023</w:t>
            </w:r>
          </w:p>
        </w:tc>
        <w:tc>
          <w:tcPr>
            <w:tcW w:w="1128" w:type="pct"/>
          </w:tcPr>
          <w:p w:rsidR="0049754C" w:rsidRPr="004347CB" w:rsidRDefault="0049754C" w:rsidP="005C1518">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Cs/>
                <w:sz w:val="20"/>
                <w:szCs w:val="16"/>
                <w:lang w:val="ka-GE"/>
              </w:rPr>
            </w:pPr>
            <w:r w:rsidRPr="004347CB">
              <w:rPr>
                <w:rFonts w:ascii="Sylfaen" w:hAnsi="Sylfaen" w:cs="Sylfaen"/>
                <w:bCs/>
                <w:sz w:val="20"/>
                <w:szCs w:val="16"/>
                <w:lang w:val="ka-GE"/>
              </w:rPr>
              <w:t>0.024</w:t>
            </w:r>
          </w:p>
        </w:tc>
        <w:tc>
          <w:tcPr>
            <w:tcW w:w="1617" w:type="pct"/>
          </w:tcPr>
          <w:p w:rsidR="0049754C" w:rsidRPr="004347CB" w:rsidRDefault="0049754C" w:rsidP="005C1518">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Cs/>
                <w:sz w:val="20"/>
                <w:szCs w:val="16"/>
                <w:lang w:val="ka-GE"/>
              </w:rPr>
            </w:pPr>
            <w:r w:rsidRPr="004347CB">
              <w:rPr>
                <w:rFonts w:ascii="Sylfaen" w:hAnsi="Sylfaen" w:cs="Sylfaen"/>
                <w:bCs/>
                <w:sz w:val="20"/>
                <w:szCs w:val="16"/>
                <w:lang w:val="ka-GE"/>
              </w:rPr>
              <w:t>5.4%</w:t>
            </w:r>
          </w:p>
        </w:tc>
      </w:tr>
      <w:tr w:rsidR="0049754C" w:rsidRPr="003C352C" w:rsidTr="004347CB">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245" w:type="pct"/>
          </w:tcPr>
          <w:p w:rsidR="0049754C" w:rsidRPr="004347CB" w:rsidRDefault="0049754C" w:rsidP="005C1518">
            <w:pPr>
              <w:jc w:val="center"/>
              <w:rPr>
                <w:rFonts w:ascii="Sylfaen" w:hAnsi="Sylfaen" w:cs="Sylfaen"/>
                <w:b w:val="0"/>
                <w:sz w:val="20"/>
                <w:szCs w:val="16"/>
                <w:lang w:val="ka-GE"/>
              </w:rPr>
            </w:pPr>
            <w:r w:rsidRPr="004347CB">
              <w:rPr>
                <w:rFonts w:ascii="Sylfaen" w:hAnsi="Sylfaen" w:cs="Sylfaen"/>
                <w:b w:val="0"/>
                <w:sz w:val="20"/>
                <w:szCs w:val="16"/>
                <w:lang w:val="ka-GE"/>
              </w:rPr>
              <w:t>KWD/GEL</w:t>
            </w:r>
          </w:p>
        </w:tc>
        <w:tc>
          <w:tcPr>
            <w:tcW w:w="1010" w:type="pct"/>
          </w:tcPr>
          <w:p w:rsidR="0049754C" w:rsidRPr="004347CB" w:rsidRDefault="0049754C" w:rsidP="005C1518">
            <w:pPr>
              <w:jc w:val="center"/>
              <w:cnfStyle w:val="000000100000" w:firstRow="0" w:lastRow="0" w:firstColumn="0" w:lastColumn="0" w:oddVBand="0" w:evenVBand="0" w:oddHBand="1" w:evenHBand="0" w:firstRowFirstColumn="0" w:firstRowLastColumn="0" w:lastRowFirstColumn="0" w:lastRowLastColumn="0"/>
              <w:rPr>
                <w:rFonts w:ascii="Sylfaen" w:hAnsi="Sylfaen" w:cs="Sylfaen"/>
                <w:bCs/>
                <w:sz w:val="20"/>
                <w:szCs w:val="16"/>
                <w:lang w:val="ka-GE"/>
              </w:rPr>
            </w:pPr>
            <w:r w:rsidRPr="004347CB">
              <w:rPr>
                <w:rFonts w:ascii="Sylfaen" w:hAnsi="Sylfaen" w:cs="Sylfaen"/>
                <w:bCs/>
                <w:sz w:val="20"/>
                <w:szCs w:val="16"/>
                <w:lang w:val="ka-GE"/>
              </w:rPr>
              <w:t>8.592</w:t>
            </w:r>
          </w:p>
        </w:tc>
        <w:tc>
          <w:tcPr>
            <w:tcW w:w="1128" w:type="pct"/>
          </w:tcPr>
          <w:p w:rsidR="0049754C" w:rsidRPr="004347CB" w:rsidRDefault="0049754C" w:rsidP="005C1518">
            <w:pPr>
              <w:jc w:val="center"/>
              <w:cnfStyle w:val="000000100000" w:firstRow="0" w:lastRow="0" w:firstColumn="0" w:lastColumn="0" w:oddVBand="0" w:evenVBand="0" w:oddHBand="1" w:evenHBand="0" w:firstRowFirstColumn="0" w:firstRowLastColumn="0" w:lastRowFirstColumn="0" w:lastRowLastColumn="0"/>
              <w:rPr>
                <w:rFonts w:ascii="Sylfaen" w:hAnsi="Sylfaen" w:cs="Sylfaen"/>
                <w:bCs/>
                <w:sz w:val="20"/>
                <w:szCs w:val="16"/>
                <w:lang w:val="ka-GE"/>
              </w:rPr>
            </w:pPr>
            <w:r w:rsidRPr="004347CB">
              <w:rPr>
                <w:rFonts w:ascii="Sylfaen" w:hAnsi="Sylfaen" w:cs="Sylfaen"/>
                <w:bCs/>
                <w:sz w:val="20"/>
                <w:szCs w:val="16"/>
                <w:lang w:val="ka-GE"/>
              </w:rPr>
              <w:t>8.816</w:t>
            </w:r>
          </w:p>
        </w:tc>
        <w:tc>
          <w:tcPr>
            <w:tcW w:w="1617" w:type="pct"/>
          </w:tcPr>
          <w:p w:rsidR="0049754C" w:rsidRPr="004347CB" w:rsidRDefault="0049754C" w:rsidP="005C1518">
            <w:pPr>
              <w:jc w:val="center"/>
              <w:cnfStyle w:val="000000100000" w:firstRow="0" w:lastRow="0" w:firstColumn="0" w:lastColumn="0" w:oddVBand="0" w:evenVBand="0" w:oddHBand="1" w:evenHBand="0" w:firstRowFirstColumn="0" w:firstRowLastColumn="0" w:lastRowFirstColumn="0" w:lastRowLastColumn="0"/>
              <w:rPr>
                <w:rFonts w:ascii="Sylfaen" w:hAnsi="Sylfaen" w:cs="Sylfaen"/>
                <w:bCs/>
                <w:sz w:val="20"/>
                <w:szCs w:val="16"/>
                <w:lang w:val="ka-GE"/>
              </w:rPr>
            </w:pPr>
            <w:r w:rsidRPr="004347CB">
              <w:rPr>
                <w:rFonts w:ascii="Sylfaen" w:hAnsi="Sylfaen" w:cs="Sylfaen"/>
                <w:bCs/>
                <w:sz w:val="20"/>
                <w:szCs w:val="16"/>
                <w:lang w:val="ka-GE"/>
              </w:rPr>
              <w:t>2.6%</w:t>
            </w:r>
          </w:p>
        </w:tc>
      </w:tr>
      <w:tr w:rsidR="0049754C" w:rsidRPr="003C352C" w:rsidTr="004347CB">
        <w:trPr>
          <w:trHeight w:val="262"/>
        </w:trPr>
        <w:tc>
          <w:tcPr>
            <w:cnfStyle w:val="001000000000" w:firstRow="0" w:lastRow="0" w:firstColumn="1" w:lastColumn="0" w:oddVBand="0" w:evenVBand="0" w:oddHBand="0" w:evenHBand="0" w:firstRowFirstColumn="0" w:firstRowLastColumn="0" w:lastRowFirstColumn="0" w:lastRowLastColumn="0"/>
            <w:tcW w:w="1245" w:type="pct"/>
          </w:tcPr>
          <w:p w:rsidR="0049754C" w:rsidRPr="004347CB" w:rsidRDefault="0049754C" w:rsidP="005C1518">
            <w:pPr>
              <w:jc w:val="center"/>
              <w:rPr>
                <w:rFonts w:ascii="Sylfaen" w:hAnsi="Sylfaen" w:cs="Sylfaen"/>
                <w:b w:val="0"/>
                <w:sz w:val="20"/>
                <w:szCs w:val="16"/>
                <w:lang w:val="ka-GE"/>
              </w:rPr>
            </w:pPr>
            <w:r w:rsidRPr="004347CB">
              <w:rPr>
                <w:rFonts w:ascii="Sylfaen" w:hAnsi="Sylfaen" w:cs="Sylfaen"/>
                <w:b w:val="0"/>
                <w:sz w:val="20"/>
                <w:szCs w:val="16"/>
                <w:lang w:val="ka-GE"/>
              </w:rPr>
              <w:t>USD/GEL</w:t>
            </w:r>
          </w:p>
        </w:tc>
        <w:tc>
          <w:tcPr>
            <w:tcW w:w="1010" w:type="pct"/>
          </w:tcPr>
          <w:p w:rsidR="0049754C" w:rsidRPr="004347CB" w:rsidRDefault="0049754C" w:rsidP="005C1518">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Cs/>
                <w:sz w:val="20"/>
                <w:szCs w:val="16"/>
                <w:lang w:val="ka-GE"/>
              </w:rPr>
            </w:pPr>
            <w:r w:rsidRPr="004347CB">
              <w:rPr>
                <w:rFonts w:ascii="Sylfaen" w:hAnsi="Sylfaen" w:cs="Sylfaen"/>
                <w:bCs/>
                <w:sz w:val="20"/>
                <w:szCs w:val="16"/>
                <w:lang w:val="ka-GE"/>
              </w:rPr>
              <w:t>2.592</w:t>
            </w:r>
          </w:p>
        </w:tc>
        <w:tc>
          <w:tcPr>
            <w:tcW w:w="1128" w:type="pct"/>
          </w:tcPr>
          <w:p w:rsidR="0049754C" w:rsidRPr="004347CB" w:rsidRDefault="0049754C" w:rsidP="005C1518">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Cs/>
                <w:sz w:val="20"/>
                <w:szCs w:val="16"/>
                <w:lang w:val="ka-GE"/>
              </w:rPr>
            </w:pPr>
            <w:r w:rsidRPr="004347CB">
              <w:rPr>
                <w:rFonts w:ascii="Sylfaen" w:hAnsi="Sylfaen" w:cs="Sylfaen"/>
                <w:bCs/>
                <w:sz w:val="20"/>
                <w:szCs w:val="16"/>
                <w:lang w:val="ka-GE"/>
              </w:rPr>
              <w:t>2.677</w:t>
            </w:r>
          </w:p>
        </w:tc>
        <w:tc>
          <w:tcPr>
            <w:tcW w:w="1617" w:type="pct"/>
          </w:tcPr>
          <w:p w:rsidR="0049754C" w:rsidRPr="004347CB" w:rsidRDefault="0049754C" w:rsidP="005C1518">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Cs/>
                <w:sz w:val="20"/>
                <w:szCs w:val="16"/>
                <w:lang w:val="ka-GE"/>
              </w:rPr>
            </w:pPr>
            <w:r w:rsidRPr="004347CB">
              <w:rPr>
                <w:rFonts w:ascii="Sylfaen" w:hAnsi="Sylfaen" w:cs="Sylfaen"/>
                <w:bCs/>
                <w:sz w:val="20"/>
                <w:szCs w:val="16"/>
                <w:lang w:val="ka-GE"/>
              </w:rPr>
              <w:t>3.3%</w:t>
            </w:r>
          </w:p>
        </w:tc>
      </w:tr>
    </w:tbl>
    <w:p w:rsidR="0049754C" w:rsidRDefault="0049754C" w:rsidP="009921E7">
      <w:pPr>
        <w:autoSpaceDE w:val="0"/>
        <w:autoSpaceDN w:val="0"/>
        <w:adjustRightInd w:val="0"/>
        <w:spacing w:after="0" w:line="240" w:lineRule="auto"/>
        <w:jc w:val="both"/>
        <w:rPr>
          <w:rFonts w:ascii="Sylfaen" w:hAnsi="Sylfaen" w:cs="Sylfaen"/>
          <w:sz w:val="20"/>
          <w:szCs w:val="16"/>
          <w:lang w:val="ka-GE"/>
        </w:rPr>
      </w:pPr>
    </w:p>
    <w:p w:rsidR="00712CC6" w:rsidRDefault="004347CB" w:rsidP="00712CC6">
      <w:pPr>
        <w:autoSpaceDE w:val="0"/>
        <w:autoSpaceDN w:val="0"/>
        <w:adjustRightInd w:val="0"/>
        <w:spacing w:after="0" w:line="240" w:lineRule="auto"/>
        <w:jc w:val="both"/>
        <w:rPr>
          <w:rFonts w:ascii="Sylfaen" w:hAnsi="Sylfaen" w:cs="Sylfaen"/>
          <w:sz w:val="20"/>
          <w:szCs w:val="16"/>
          <w:lang w:val="ka-GE"/>
        </w:rPr>
      </w:pPr>
      <w:r>
        <w:rPr>
          <w:rFonts w:ascii="Sylfaen" w:hAnsi="Sylfaen" w:cs="Sylfaen"/>
          <w:sz w:val="20"/>
          <w:szCs w:val="16"/>
          <w:lang w:val="ka-GE"/>
        </w:rPr>
        <w:t>2018 წლის ბოლოს, 2017 წლის ბოლოს არსებული კურსების შენარჩუნების შემთხვევაში, მთავრობის ვალის ფარდობა ნომინალურ მშპ-თან მიმართებით იქნებოდა 41.8%, რაც 0.4%-ით ნაკლებია 2018 წლის ფაქტიურ მონაცემთან შედარებით</w:t>
      </w:r>
      <w:r>
        <w:rPr>
          <w:rFonts w:ascii="Sylfaen" w:hAnsi="Sylfaen" w:cs="Sylfaen"/>
          <w:sz w:val="20"/>
          <w:szCs w:val="16"/>
        </w:rPr>
        <w:t xml:space="preserve"> (42.2%)</w:t>
      </w:r>
      <w:r>
        <w:rPr>
          <w:rFonts w:ascii="Sylfaen" w:hAnsi="Sylfaen" w:cs="Sylfaen"/>
          <w:sz w:val="20"/>
          <w:szCs w:val="16"/>
          <w:lang w:val="ka-GE"/>
        </w:rPr>
        <w:t xml:space="preserve">. </w:t>
      </w:r>
    </w:p>
    <w:p w:rsidR="004347CB" w:rsidRPr="00712CC6" w:rsidRDefault="004347CB" w:rsidP="00712CC6">
      <w:pPr>
        <w:autoSpaceDE w:val="0"/>
        <w:autoSpaceDN w:val="0"/>
        <w:adjustRightInd w:val="0"/>
        <w:spacing w:after="0" w:line="240" w:lineRule="auto"/>
        <w:jc w:val="both"/>
        <w:rPr>
          <w:rFonts w:ascii="Sylfaen" w:hAnsi="Sylfaen" w:cs="Sylfaen"/>
          <w:sz w:val="20"/>
          <w:szCs w:val="16"/>
          <w:lang w:val="ka-GE"/>
        </w:rPr>
      </w:pPr>
    </w:p>
    <w:p w:rsidR="00714D99" w:rsidRPr="00714D99" w:rsidRDefault="009921E7" w:rsidP="00714D99">
      <w:pPr>
        <w:autoSpaceDE w:val="0"/>
        <w:autoSpaceDN w:val="0"/>
        <w:adjustRightInd w:val="0"/>
        <w:spacing w:after="0" w:line="240" w:lineRule="auto"/>
        <w:rPr>
          <w:rFonts w:ascii="Sylfaen" w:hAnsi="Sylfaen" w:cs="Sylfaen"/>
          <w:b/>
          <w:sz w:val="24"/>
          <w:szCs w:val="16"/>
          <w:lang w:val="ka-GE"/>
        </w:rPr>
      </w:pPr>
      <w:r w:rsidRPr="004347CB">
        <w:rPr>
          <w:noProof/>
          <w:color w:val="FFFFFF" w:themeColor="background1"/>
        </w:rPr>
        <w:drawing>
          <wp:inline distT="0" distB="0" distL="0" distR="0" wp14:anchorId="7B795B9A" wp14:editId="79BC10A3">
            <wp:extent cx="3503930" cy="2040941"/>
            <wp:effectExtent l="0" t="0" r="1270" b="165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A121D" w:rsidRDefault="00AA121D">
      <w:pPr>
        <w:rPr>
          <w:rFonts w:ascii="Sylfaen" w:hAnsi="Sylfaen" w:cs="Sylfaen"/>
          <w:i/>
          <w:sz w:val="16"/>
          <w:szCs w:val="16"/>
          <w:lang w:val="ka-GE"/>
        </w:rPr>
      </w:pPr>
      <w:r>
        <w:rPr>
          <w:rFonts w:ascii="Sylfaen" w:hAnsi="Sylfaen" w:cs="Sylfaen"/>
          <w:i/>
          <w:sz w:val="16"/>
          <w:szCs w:val="16"/>
          <w:lang w:val="ka-GE"/>
        </w:rPr>
        <w:br w:type="page"/>
      </w:r>
    </w:p>
    <w:p w:rsidR="00E4055E" w:rsidRDefault="00E4055E">
      <w:pPr>
        <w:rPr>
          <w:rFonts w:ascii="Sylfaen" w:hAnsi="Sylfaen" w:cs="Sylfaen"/>
          <w:i/>
          <w:sz w:val="16"/>
          <w:szCs w:val="16"/>
          <w:lang w:val="ka-GE"/>
        </w:rPr>
        <w:sectPr w:rsidR="00E4055E" w:rsidSect="00AA121D">
          <w:footerReference w:type="default" r:id="rId12"/>
          <w:pgSz w:w="12240" w:h="15840"/>
          <w:pgMar w:top="540" w:right="720" w:bottom="720" w:left="720" w:header="720" w:footer="720" w:gutter="0"/>
          <w:cols w:space="720"/>
          <w:docGrid w:linePitch="360"/>
        </w:sectPr>
      </w:pPr>
    </w:p>
    <w:p w:rsidR="00E4055E" w:rsidRPr="00E4055E" w:rsidRDefault="00E4055E" w:rsidP="00E4055E">
      <w:pPr>
        <w:pStyle w:val="Heading1"/>
        <w:rPr>
          <w:sz w:val="24"/>
        </w:rPr>
      </w:pPr>
      <w:r w:rsidRPr="00E4055E">
        <w:rPr>
          <w:sz w:val="24"/>
        </w:rPr>
        <w:lastRenderedPageBreak/>
        <w:t>მთავრობის ვალის ცვლილების ანალიზი</w:t>
      </w:r>
    </w:p>
    <w:p w:rsidR="00E4055E" w:rsidRPr="00E4055E" w:rsidRDefault="00E4055E" w:rsidP="00E4055E">
      <w:pPr>
        <w:pStyle w:val="Heading1"/>
        <w:rPr>
          <w:rFonts w:ascii="BPG Arial" w:hAnsi="BPG Arial"/>
        </w:rPr>
      </w:pPr>
      <w:r w:rsidRPr="00E4055E">
        <w:rPr>
          <w:rFonts w:ascii="BPG Arial" w:hAnsi="BPG Arial"/>
          <w:lang w:val="en-US"/>
        </w:rPr>
        <w:t>1</w:t>
      </w:r>
      <w:r w:rsidRPr="00E4055E">
        <w:rPr>
          <w:rFonts w:ascii="BPG Arial" w:hAnsi="BPG Arial"/>
        </w:rPr>
        <w:t xml:space="preserve">. </w:t>
      </w:r>
      <w:proofErr w:type="gramStart"/>
      <w:r w:rsidRPr="00E4055E">
        <w:rPr>
          <w:rFonts w:ascii="BPG Arial" w:hAnsi="BPG Arial"/>
        </w:rPr>
        <w:t>მთავრობის</w:t>
      </w:r>
      <w:proofErr w:type="gramEnd"/>
      <w:r w:rsidRPr="00E4055E">
        <w:rPr>
          <w:rFonts w:ascii="BPG Arial" w:hAnsi="BPG Arial"/>
        </w:rPr>
        <w:t xml:space="preserve"> საგარეო ვალი</w:t>
      </w:r>
    </w:p>
    <w:p w:rsidR="00E4055E" w:rsidRPr="00E4055E" w:rsidRDefault="00E4055E" w:rsidP="00E4055E">
      <w:pPr>
        <w:jc w:val="both"/>
        <w:rPr>
          <w:rFonts w:ascii="BPG Arial" w:hAnsi="BPG Arial" w:cs="BPG Arial"/>
          <w:b/>
          <w:color w:val="002060"/>
          <w:szCs w:val="20"/>
          <w:lang w:val="ka-GE"/>
        </w:rPr>
      </w:pPr>
      <w:r w:rsidRPr="00E4055E">
        <w:rPr>
          <w:rFonts w:ascii="BPG Arial" w:hAnsi="BPG Arial" w:cs="BPG Arial"/>
          <w:sz w:val="20"/>
          <w:szCs w:val="20"/>
          <w:lang w:val="ka-GE"/>
        </w:rPr>
        <w:t>მთავრობის საგარეო ვალის მოცულობამ 2017 წლის მდგომარეობით შეადგინა 5,092 მილიონ აშშ დოლარს, ხოლო</w:t>
      </w:r>
      <w:r w:rsidR="00182518">
        <w:rPr>
          <w:rFonts w:ascii="BPG Arial" w:hAnsi="BPG Arial" w:cs="BPG Arial"/>
          <w:sz w:val="20"/>
          <w:szCs w:val="20"/>
          <w:lang w:val="ka-GE"/>
        </w:rPr>
        <w:t xml:space="preserve"> </w:t>
      </w:r>
      <w:r w:rsidRPr="00E4055E">
        <w:rPr>
          <w:rFonts w:ascii="BPG Arial" w:hAnsi="BPG Arial" w:cs="BPG Arial"/>
          <w:sz w:val="20"/>
          <w:szCs w:val="20"/>
          <w:lang w:val="ka-GE"/>
        </w:rPr>
        <w:t>ეროვნულ ვალუტაში 13,199 მილიონ ლარს. 2018 წელს საგარეო ვალის მოცულობა აშშ დოლარში გაიზარდა 3.4%-ით და შეადგინა 5,267 მილიონი აშშ დოლარი, ხოლო ეროვნულ ვალუტაში გაიზარდა 6.8%-ით და შეადგინა 14,098 მილიონი ლარი.</w:t>
      </w:r>
    </w:p>
    <w:p w:rsidR="00E4055E" w:rsidRPr="00E4055E" w:rsidRDefault="00E4055E" w:rsidP="00E4055E">
      <w:pPr>
        <w:pStyle w:val="Heading2"/>
        <w:rPr>
          <w:rFonts w:ascii="BPG Arial" w:hAnsi="BPG Arial"/>
        </w:rPr>
      </w:pPr>
      <w:r w:rsidRPr="00E4055E">
        <w:rPr>
          <w:rFonts w:ascii="BPG Arial" w:hAnsi="BPG Arial"/>
        </w:rPr>
        <w:t>ცხრილი 1.1 მთავრობის საგარეო ვალი 2017 წლის 31 დეკემბრის მდგომარეობით (მლნ)</w:t>
      </w:r>
    </w:p>
    <w:tbl>
      <w:tblPr>
        <w:tblStyle w:val="ListTable1Light-Accent3"/>
        <w:tblW w:w="0" w:type="auto"/>
        <w:tblCellMar>
          <w:top w:w="29" w:type="dxa"/>
          <w:left w:w="115" w:type="dxa"/>
          <w:right w:w="115" w:type="dxa"/>
        </w:tblCellMar>
        <w:tblLook w:val="04A0" w:firstRow="1" w:lastRow="0" w:firstColumn="1" w:lastColumn="0" w:noHBand="0" w:noVBand="1"/>
      </w:tblPr>
      <w:tblGrid>
        <w:gridCol w:w="1015"/>
        <w:gridCol w:w="1272"/>
        <w:gridCol w:w="1580"/>
        <w:gridCol w:w="1106"/>
      </w:tblGrid>
      <w:tr w:rsidR="00E4055E" w:rsidRPr="00E4055E" w:rsidTr="00522293">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78" w:type="dxa"/>
            <w:shd w:val="clear" w:color="auto" w:fill="82B2DE"/>
            <w:vAlign w:val="center"/>
          </w:tcPr>
          <w:p w:rsidR="00E4055E" w:rsidRPr="00E4055E" w:rsidRDefault="00E4055E" w:rsidP="00522293">
            <w:pPr>
              <w:jc w:val="center"/>
              <w:rPr>
                <w:rFonts w:ascii="BPG Arial" w:hAnsi="BPG Arial" w:cs="BPG Arial"/>
                <w:b w:val="0"/>
                <w:sz w:val="20"/>
                <w:szCs w:val="20"/>
                <w:lang w:val="ka-GE"/>
              </w:rPr>
            </w:pPr>
            <w:r w:rsidRPr="00E4055E">
              <w:rPr>
                <w:rFonts w:ascii="BPG Arial" w:hAnsi="BPG Arial" w:cs="BPG Arial"/>
                <w:sz w:val="20"/>
                <w:szCs w:val="20"/>
                <w:lang w:val="ka-GE"/>
              </w:rPr>
              <w:t>ვალუტა</w:t>
            </w:r>
          </w:p>
        </w:tc>
        <w:tc>
          <w:tcPr>
            <w:tcW w:w="1272" w:type="dxa"/>
            <w:shd w:val="clear" w:color="auto" w:fill="82B2DE"/>
            <w:vAlign w:val="center"/>
          </w:tcPr>
          <w:p w:rsidR="00E4055E" w:rsidRPr="00E4055E" w:rsidRDefault="00E4055E" w:rsidP="00522293">
            <w:pPr>
              <w:jc w:val="center"/>
              <w:cnfStyle w:val="100000000000" w:firstRow="1" w:lastRow="0" w:firstColumn="0" w:lastColumn="0" w:oddVBand="0" w:evenVBand="0" w:oddHBand="0" w:evenHBand="0" w:firstRowFirstColumn="0" w:firstRowLastColumn="0" w:lastRowFirstColumn="0" w:lastRowLastColumn="0"/>
              <w:rPr>
                <w:rFonts w:ascii="BPG Arial" w:hAnsi="BPG Arial" w:cs="BPG Arial"/>
                <w:b w:val="0"/>
                <w:sz w:val="20"/>
                <w:szCs w:val="20"/>
                <w:lang w:val="ka-GE"/>
              </w:rPr>
            </w:pPr>
            <w:r w:rsidRPr="00E4055E">
              <w:rPr>
                <w:rFonts w:ascii="BPG Arial" w:hAnsi="BPG Arial" w:cs="BPG Arial"/>
                <w:sz w:val="20"/>
                <w:szCs w:val="20"/>
                <w:lang w:val="ka-GE"/>
              </w:rPr>
              <w:t>კრედიტის ვალუტა</w:t>
            </w:r>
          </w:p>
        </w:tc>
        <w:tc>
          <w:tcPr>
            <w:tcW w:w="1580" w:type="dxa"/>
            <w:shd w:val="clear" w:color="auto" w:fill="82B2DE"/>
            <w:vAlign w:val="center"/>
          </w:tcPr>
          <w:p w:rsidR="00E4055E" w:rsidRPr="00E4055E" w:rsidRDefault="00E4055E" w:rsidP="00522293">
            <w:pPr>
              <w:jc w:val="center"/>
              <w:cnfStyle w:val="100000000000" w:firstRow="1" w:lastRow="0" w:firstColumn="0" w:lastColumn="0" w:oddVBand="0" w:evenVBand="0" w:oddHBand="0" w:evenHBand="0" w:firstRowFirstColumn="0" w:firstRowLastColumn="0" w:lastRowFirstColumn="0" w:lastRowLastColumn="0"/>
              <w:rPr>
                <w:rFonts w:ascii="BPG Arial" w:hAnsi="BPG Arial" w:cs="BPG Arial"/>
                <w:b w:val="0"/>
                <w:sz w:val="20"/>
                <w:szCs w:val="20"/>
                <w:lang w:val="ka-GE"/>
              </w:rPr>
            </w:pPr>
            <w:r w:rsidRPr="00E4055E">
              <w:rPr>
                <w:rFonts w:ascii="BPG Arial" w:hAnsi="BPG Arial" w:cs="BPG Arial"/>
                <w:sz w:val="20"/>
                <w:szCs w:val="20"/>
                <w:lang w:val="ka-GE"/>
              </w:rPr>
              <w:t>აშშ დოლარი</w:t>
            </w:r>
          </w:p>
        </w:tc>
        <w:tc>
          <w:tcPr>
            <w:tcW w:w="1106" w:type="dxa"/>
            <w:shd w:val="clear" w:color="auto" w:fill="82B2DE"/>
            <w:vAlign w:val="center"/>
          </w:tcPr>
          <w:p w:rsidR="00E4055E" w:rsidRPr="00E4055E" w:rsidRDefault="00E4055E" w:rsidP="00522293">
            <w:pPr>
              <w:jc w:val="center"/>
              <w:cnfStyle w:val="100000000000" w:firstRow="1" w:lastRow="0" w:firstColumn="0" w:lastColumn="0" w:oddVBand="0" w:evenVBand="0" w:oddHBand="0" w:evenHBand="0" w:firstRowFirstColumn="0" w:firstRowLastColumn="0" w:lastRowFirstColumn="0" w:lastRowLastColumn="0"/>
              <w:rPr>
                <w:rFonts w:ascii="BPG Arial" w:hAnsi="BPG Arial" w:cs="BPG Arial"/>
                <w:b w:val="0"/>
                <w:sz w:val="20"/>
                <w:szCs w:val="20"/>
                <w:lang w:val="ka-GE"/>
              </w:rPr>
            </w:pPr>
            <w:r w:rsidRPr="00E4055E">
              <w:rPr>
                <w:rFonts w:ascii="BPG Arial" w:hAnsi="BPG Arial" w:cs="BPG Arial"/>
                <w:sz w:val="20"/>
                <w:szCs w:val="20"/>
                <w:lang w:val="ka-GE"/>
              </w:rPr>
              <w:t>ლარი</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978" w:type="dxa"/>
          </w:tcPr>
          <w:p w:rsidR="00E4055E" w:rsidRPr="00E4055E" w:rsidRDefault="00E4055E" w:rsidP="00522293">
            <w:pPr>
              <w:jc w:val="center"/>
              <w:rPr>
                <w:rFonts w:ascii="BPG Arial" w:hAnsi="BPG Arial" w:cs="BPG Arial"/>
                <w:b w:val="0"/>
                <w:sz w:val="20"/>
                <w:szCs w:val="20"/>
                <w:lang w:val="ka-GE"/>
              </w:rPr>
            </w:pPr>
            <w:r w:rsidRPr="00E4055E">
              <w:rPr>
                <w:rFonts w:ascii="BPG Arial" w:hAnsi="BPG Arial" w:cs="BPG Arial"/>
                <w:b w:val="0"/>
                <w:sz w:val="20"/>
                <w:szCs w:val="20"/>
                <w:lang w:val="ka-GE"/>
              </w:rPr>
              <w:t>USD</w:t>
            </w:r>
          </w:p>
        </w:tc>
        <w:tc>
          <w:tcPr>
            <w:tcW w:w="1272"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1,721</w:t>
            </w:r>
          </w:p>
        </w:tc>
        <w:tc>
          <w:tcPr>
            <w:tcW w:w="1580"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1,721</w:t>
            </w:r>
          </w:p>
        </w:tc>
        <w:tc>
          <w:tcPr>
            <w:tcW w:w="1106"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4,461</w:t>
            </w:r>
          </w:p>
        </w:tc>
      </w:tr>
      <w:tr w:rsidR="00E4055E" w:rsidRPr="00E4055E" w:rsidTr="00522293">
        <w:trPr>
          <w:trHeight w:val="235"/>
        </w:trPr>
        <w:tc>
          <w:tcPr>
            <w:cnfStyle w:val="001000000000" w:firstRow="0" w:lastRow="0" w:firstColumn="1" w:lastColumn="0" w:oddVBand="0" w:evenVBand="0" w:oddHBand="0" w:evenHBand="0" w:firstRowFirstColumn="0" w:firstRowLastColumn="0" w:lastRowFirstColumn="0" w:lastRowLastColumn="0"/>
            <w:tcW w:w="978" w:type="dxa"/>
          </w:tcPr>
          <w:p w:rsidR="00E4055E" w:rsidRPr="00E4055E" w:rsidRDefault="00E4055E" w:rsidP="00522293">
            <w:pPr>
              <w:jc w:val="center"/>
              <w:rPr>
                <w:rFonts w:ascii="BPG Arial" w:hAnsi="BPG Arial" w:cs="BPG Arial"/>
                <w:b w:val="0"/>
                <w:sz w:val="20"/>
                <w:szCs w:val="20"/>
                <w:lang w:val="ka-GE"/>
              </w:rPr>
            </w:pPr>
            <w:r w:rsidRPr="00E4055E">
              <w:rPr>
                <w:rFonts w:ascii="BPG Arial" w:hAnsi="BPG Arial" w:cs="BPG Arial"/>
                <w:b w:val="0"/>
                <w:sz w:val="20"/>
                <w:szCs w:val="20"/>
                <w:lang w:val="ka-GE"/>
              </w:rPr>
              <w:t>SDR</w:t>
            </w:r>
          </w:p>
        </w:tc>
        <w:tc>
          <w:tcPr>
            <w:tcW w:w="1272" w:type="dxa"/>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1,420</w:t>
            </w:r>
          </w:p>
        </w:tc>
        <w:tc>
          <w:tcPr>
            <w:tcW w:w="1580" w:type="dxa"/>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2,022</w:t>
            </w:r>
          </w:p>
        </w:tc>
        <w:tc>
          <w:tcPr>
            <w:tcW w:w="1106" w:type="dxa"/>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5,242</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978" w:type="dxa"/>
          </w:tcPr>
          <w:p w:rsidR="00E4055E" w:rsidRPr="00E4055E" w:rsidRDefault="00E4055E" w:rsidP="00522293">
            <w:pPr>
              <w:jc w:val="center"/>
              <w:rPr>
                <w:rFonts w:ascii="BPG Arial" w:hAnsi="BPG Arial" w:cs="BPG Arial"/>
                <w:b w:val="0"/>
                <w:sz w:val="20"/>
                <w:szCs w:val="20"/>
                <w:lang w:val="ka-GE"/>
              </w:rPr>
            </w:pPr>
            <w:r w:rsidRPr="00E4055E">
              <w:rPr>
                <w:rFonts w:ascii="BPG Arial" w:hAnsi="BPG Arial" w:cs="BPG Arial"/>
                <w:b w:val="0"/>
                <w:sz w:val="20"/>
                <w:szCs w:val="20"/>
                <w:lang w:val="ka-GE"/>
              </w:rPr>
              <w:t>EUR</w:t>
            </w:r>
          </w:p>
        </w:tc>
        <w:tc>
          <w:tcPr>
            <w:tcW w:w="1272"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939</w:t>
            </w:r>
          </w:p>
        </w:tc>
        <w:tc>
          <w:tcPr>
            <w:tcW w:w="1580"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1,124</w:t>
            </w:r>
          </w:p>
        </w:tc>
        <w:tc>
          <w:tcPr>
            <w:tcW w:w="1106"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2,914</w:t>
            </w:r>
          </w:p>
        </w:tc>
      </w:tr>
      <w:tr w:rsidR="00E4055E" w:rsidRPr="00E4055E" w:rsidTr="00522293">
        <w:trPr>
          <w:trHeight w:val="235"/>
        </w:trPr>
        <w:tc>
          <w:tcPr>
            <w:cnfStyle w:val="001000000000" w:firstRow="0" w:lastRow="0" w:firstColumn="1" w:lastColumn="0" w:oddVBand="0" w:evenVBand="0" w:oddHBand="0" w:evenHBand="0" w:firstRowFirstColumn="0" w:firstRowLastColumn="0" w:lastRowFirstColumn="0" w:lastRowLastColumn="0"/>
            <w:tcW w:w="978" w:type="dxa"/>
          </w:tcPr>
          <w:p w:rsidR="00E4055E" w:rsidRPr="00E4055E" w:rsidRDefault="00E4055E" w:rsidP="00522293">
            <w:pPr>
              <w:jc w:val="center"/>
              <w:rPr>
                <w:rFonts w:ascii="BPG Arial" w:hAnsi="BPG Arial" w:cs="BPG Arial"/>
                <w:b w:val="0"/>
                <w:sz w:val="20"/>
                <w:szCs w:val="20"/>
                <w:lang w:val="ka-GE"/>
              </w:rPr>
            </w:pPr>
            <w:r w:rsidRPr="00E4055E">
              <w:rPr>
                <w:rFonts w:ascii="BPG Arial" w:hAnsi="BPG Arial" w:cs="BPG Arial"/>
                <w:b w:val="0"/>
                <w:sz w:val="20"/>
                <w:szCs w:val="20"/>
                <w:lang w:val="ka-GE"/>
              </w:rPr>
              <w:t>KWD</w:t>
            </w:r>
          </w:p>
        </w:tc>
        <w:tc>
          <w:tcPr>
            <w:tcW w:w="1272" w:type="dxa"/>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4</w:t>
            </w:r>
          </w:p>
        </w:tc>
        <w:tc>
          <w:tcPr>
            <w:tcW w:w="1580" w:type="dxa"/>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12</w:t>
            </w:r>
          </w:p>
        </w:tc>
        <w:tc>
          <w:tcPr>
            <w:tcW w:w="1106" w:type="dxa"/>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32</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978" w:type="dxa"/>
          </w:tcPr>
          <w:p w:rsidR="00E4055E" w:rsidRPr="00E4055E" w:rsidRDefault="00E4055E" w:rsidP="00522293">
            <w:pPr>
              <w:jc w:val="center"/>
              <w:rPr>
                <w:rFonts w:ascii="BPG Arial" w:hAnsi="BPG Arial" w:cs="BPG Arial"/>
                <w:b w:val="0"/>
                <w:sz w:val="20"/>
                <w:szCs w:val="20"/>
                <w:lang w:val="ka-GE"/>
              </w:rPr>
            </w:pPr>
            <w:r w:rsidRPr="00E4055E">
              <w:rPr>
                <w:rFonts w:ascii="BPG Arial" w:hAnsi="BPG Arial" w:cs="BPG Arial"/>
                <w:b w:val="0"/>
                <w:sz w:val="20"/>
                <w:szCs w:val="20"/>
                <w:lang w:val="ka-GE"/>
              </w:rPr>
              <w:t>JPY</w:t>
            </w:r>
          </w:p>
        </w:tc>
        <w:tc>
          <w:tcPr>
            <w:tcW w:w="1272"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23,666</w:t>
            </w:r>
          </w:p>
        </w:tc>
        <w:tc>
          <w:tcPr>
            <w:tcW w:w="1580"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210</w:t>
            </w:r>
          </w:p>
        </w:tc>
        <w:tc>
          <w:tcPr>
            <w:tcW w:w="1106"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545</w:t>
            </w:r>
          </w:p>
        </w:tc>
      </w:tr>
      <w:tr w:rsidR="00E4055E" w:rsidRPr="00E4055E" w:rsidTr="00522293">
        <w:trPr>
          <w:trHeight w:val="235"/>
        </w:trPr>
        <w:tc>
          <w:tcPr>
            <w:cnfStyle w:val="001000000000" w:firstRow="0" w:lastRow="0" w:firstColumn="1" w:lastColumn="0" w:oddVBand="0" w:evenVBand="0" w:oddHBand="0" w:evenHBand="0" w:firstRowFirstColumn="0" w:firstRowLastColumn="0" w:lastRowFirstColumn="0" w:lastRowLastColumn="0"/>
            <w:tcW w:w="978" w:type="dxa"/>
          </w:tcPr>
          <w:p w:rsidR="00E4055E" w:rsidRPr="00E4055E" w:rsidRDefault="00E4055E" w:rsidP="00522293">
            <w:pPr>
              <w:jc w:val="center"/>
              <w:rPr>
                <w:rFonts w:ascii="BPG Arial" w:hAnsi="BPG Arial" w:cs="BPG Arial"/>
                <w:b w:val="0"/>
                <w:sz w:val="20"/>
                <w:szCs w:val="20"/>
                <w:lang w:val="ka-GE"/>
              </w:rPr>
            </w:pPr>
            <w:r w:rsidRPr="00E4055E">
              <w:rPr>
                <w:rFonts w:ascii="BPG Arial" w:hAnsi="BPG Arial" w:cs="BPG Arial"/>
                <w:b w:val="0"/>
                <w:sz w:val="20"/>
                <w:szCs w:val="20"/>
                <w:lang w:val="ka-GE"/>
              </w:rPr>
              <w:t>CNY</w:t>
            </w:r>
          </w:p>
        </w:tc>
        <w:tc>
          <w:tcPr>
            <w:tcW w:w="1272" w:type="dxa"/>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15</w:t>
            </w:r>
          </w:p>
        </w:tc>
        <w:tc>
          <w:tcPr>
            <w:tcW w:w="1580" w:type="dxa"/>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2</w:t>
            </w:r>
          </w:p>
        </w:tc>
        <w:tc>
          <w:tcPr>
            <w:tcW w:w="1106" w:type="dxa"/>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6</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978" w:type="dxa"/>
          </w:tcPr>
          <w:p w:rsidR="00E4055E" w:rsidRPr="00E4055E" w:rsidRDefault="00E4055E" w:rsidP="00522293">
            <w:pPr>
              <w:jc w:val="center"/>
              <w:rPr>
                <w:rFonts w:ascii="BPG Arial" w:hAnsi="BPG Arial" w:cs="BPG Arial"/>
                <w:b w:val="0"/>
                <w:sz w:val="20"/>
                <w:szCs w:val="20"/>
                <w:lang w:val="ka-GE"/>
              </w:rPr>
            </w:pPr>
            <w:r w:rsidRPr="00E4055E">
              <w:rPr>
                <w:rFonts w:ascii="BPG Arial" w:hAnsi="BPG Arial" w:cs="BPG Arial"/>
                <w:b w:val="0"/>
                <w:sz w:val="20"/>
                <w:szCs w:val="20"/>
                <w:lang w:val="ka-GE"/>
              </w:rPr>
              <w:t>სულ</w:t>
            </w:r>
          </w:p>
        </w:tc>
        <w:tc>
          <w:tcPr>
            <w:tcW w:w="1272"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p>
        </w:tc>
        <w:tc>
          <w:tcPr>
            <w:tcW w:w="1580"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5,092</w:t>
            </w:r>
          </w:p>
        </w:tc>
        <w:tc>
          <w:tcPr>
            <w:tcW w:w="1106"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13,199</w:t>
            </w:r>
          </w:p>
        </w:tc>
      </w:tr>
    </w:tbl>
    <w:p w:rsidR="00E4055E" w:rsidRPr="00E4055E" w:rsidRDefault="00E4055E" w:rsidP="00E4055E">
      <w:pPr>
        <w:spacing w:before="120"/>
        <w:jc w:val="both"/>
        <w:rPr>
          <w:rFonts w:ascii="BPG Arial" w:hAnsi="BPG Arial" w:cs="BPG Arial"/>
          <w:i/>
          <w:sz w:val="16"/>
          <w:szCs w:val="20"/>
          <w:lang w:val="ka-GE"/>
        </w:rPr>
      </w:pPr>
      <w:r w:rsidRPr="00E4055E">
        <w:rPr>
          <w:rFonts w:ascii="BPG Arial" w:hAnsi="BPG Arial" w:cs="BPG Arial"/>
          <w:i/>
          <w:sz w:val="16"/>
          <w:szCs w:val="20"/>
          <w:lang w:val="ka-GE"/>
        </w:rPr>
        <w:t>წყარო: საქართველოს ფინანსთა სამინისტრო</w:t>
      </w:r>
    </w:p>
    <w:p w:rsidR="00E4055E" w:rsidRPr="00E4055E" w:rsidRDefault="00E4055E" w:rsidP="00E4055E">
      <w:pPr>
        <w:jc w:val="both"/>
        <w:rPr>
          <w:rFonts w:ascii="BPG Arial" w:hAnsi="BPG Arial" w:cs="BPG Arial"/>
          <w:sz w:val="20"/>
          <w:szCs w:val="20"/>
          <w:lang w:val="ka-GE"/>
        </w:rPr>
      </w:pPr>
      <w:r w:rsidRPr="00E4055E">
        <w:rPr>
          <w:rFonts w:ascii="BPG Arial" w:hAnsi="BPG Arial" w:cs="BPG Arial"/>
          <w:sz w:val="20"/>
          <w:szCs w:val="20"/>
          <w:lang w:val="ka-GE"/>
        </w:rPr>
        <w:t>მთავრობის ვალის მოცულობის ზრდა 2018 წელს წინა წელთან შედარებით განაპირობა სესხების აღებამ, რომლებიც მოხმარდა კაპიტალური დანიშნულების პროექტების მხარდაჭერას. გარდა ამისა, ვალის მოცულობის ზრდაზე გავლენა მოახდინა პორტფელში არსებული ვალუტების კურსის ცვლილებამ.</w:t>
      </w:r>
    </w:p>
    <w:p w:rsidR="00E4055E" w:rsidRPr="00E4055E" w:rsidRDefault="00E4055E" w:rsidP="00E4055E">
      <w:pPr>
        <w:pStyle w:val="Heading2"/>
        <w:rPr>
          <w:rFonts w:ascii="BPG Arial" w:hAnsi="BPG Arial"/>
        </w:rPr>
      </w:pPr>
      <w:r w:rsidRPr="00E4055E">
        <w:rPr>
          <w:rFonts w:ascii="BPG Arial" w:hAnsi="BPG Arial"/>
        </w:rPr>
        <w:t>ცხრილი 1.2 მთავრობის საგარეო ვალი 2018 წლის 31 დეკემბრის მდგომარეობით (მლნ)</w:t>
      </w:r>
    </w:p>
    <w:tbl>
      <w:tblPr>
        <w:tblStyle w:val="ListTable1Light-Accent3"/>
        <w:tblW w:w="4963" w:type="dxa"/>
        <w:tblLook w:val="04A0" w:firstRow="1" w:lastRow="0" w:firstColumn="1" w:lastColumn="0" w:noHBand="0" w:noVBand="1"/>
      </w:tblPr>
      <w:tblGrid>
        <w:gridCol w:w="1001"/>
        <w:gridCol w:w="1274"/>
        <w:gridCol w:w="1578"/>
        <w:gridCol w:w="1110"/>
      </w:tblGrid>
      <w:tr w:rsidR="00E4055E" w:rsidRPr="00E4055E" w:rsidTr="00522293">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982" w:type="dxa"/>
            <w:shd w:val="clear" w:color="auto" w:fill="82B2DE"/>
            <w:vAlign w:val="center"/>
          </w:tcPr>
          <w:p w:rsidR="00E4055E" w:rsidRPr="00E4055E" w:rsidRDefault="00E4055E" w:rsidP="00522293">
            <w:pPr>
              <w:jc w:val="center"/>
              <w:rPr>
                <w:rFonts w:ascii="BPG Arial" w:hAnsi="BPG Arial" w:cs="BPG Arial"/>
                <w:b w:val="0"/>
                <w:sz w:val="20"/>
                <w:szCs w:val="20"/>
                <w:lang w:val="ka-GE"/>
              </w:rPr>
            </w:pPr>
            <w:r w:rsidRPr="00E4055E">
              <w:rPr>
                <w:rFonts w:ascii="BPG Arial" w:hAnsi="BPG Arial" w:cs="BPG Arial"/>
                <w:sz w:val="20"/>
                <w:szCs w:val="20"/>
                <w:lang w:val="ka-GE"/>
              </w:rPr>
              <w:t>ვალუტა</w:t>
            </w:r>
          </w:p>
        </w:tc>
        <w:tc>
          <w:tcPr>
            <w:tcW w:w="1275" w:type="dxa"/>
            <w:shd w:val="clear" w:color="auto" w:fill="82B2DE"/>
            <w:vAlign w:val="center"/>
          </w:tcPr>
          <w:p w:rsidR="00E4055E" w:rsidRPr="00E4055E" w:rsidRDefault="00E4055E" w:rsidP="00522293">
            <w:pPr>
              <w:jc w:val="center"/>
              <w:cnfStyle w:val="100000000000" w:firstRow="1" w:lastRow="0" w:firstColumn="0" w:lastColumn="0" w:oddVBand="0" w:evenVBand="0" w:oddHBand="0" w:evenHBand="0" w:firstRowFirstColumn="0" w:firstRowLastColumn="0" w:lastRowFirstColumn="0" w:lastRowLastColumn="0"/>
              <w:rPr>
                <w:rFonts w:ascii="BPG Arial" w:hAnsi="BPG Arial" w:cs="BPG Arial"/>
                <w:b w:val="0"/>
                <w:sz w:val="20"/>
                <w:szCs w:val="20"/>
                <w:lang w:val="ka-GE"/>
              </w:rPr>
            </w:pPr>
            <w:r w:rsidRPr="00E4055E">
              <w:rPr>
                <w:rFonts w:ascii="BPG Arial" w:hAnsi="BPG Arial" w:cs="BPG Arial"/>
                <w:sz w:val="20"/>
                <w:szCs w:val="20"/>
                <w:lang w:val="ka-GE"/>
              </w:rPr>
              <w:t>კრედიტის ვალუტა</w:t>
            </w:r>
          </w:p>
        </w:tc>
        <w:tc>
          <w:tcPr>
            <w:tcW w:w="1589" w:type="dxa"/>
            <w:shd w:val="clear" w:color="auto" w:fill="82B2DE"/>
            <w:vAlign w:val="center"/>
          </w:tcPr>
          <w:p w:rsidR="00E4055E" w:rsidRPr="00E4055E" w:rsidRDefault="00E4055E" w:rsidP="00522293">
            <w:pPr>
              <w:jc w:val="center"/>
              <w:cnfStyle w:val="100000000000" w:firstRow="1"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აშშ დოლარი</w:t>
            </w:r>
          </w:p>
        </w:tc>
        <w:tc>
          <w:tcPr>
            <w:tcW w:w="1117" w:type="dxa"/>
            <w:shd w:val="clear" w:color="auto" w:fill="82B2DE"/>
            <w:vAlign w:val="center"/>
          </w:tcPr>
          <w:p w:rsidR="00E4055E" w:rsidRPr="00E4055E" w:rsidRDefault="00E4055E" w:rsidP="00522293">
            <w:pPr>
              <w:jc w:val="center"/>
              <w:cnfStyle w:val="100000000000" w:firstRow="1"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ლარი</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82" w:type="dxa"/>
          </w:tcPr>
          <w:p w:rsidR="00E4055E" w:rsidRPr="00E4055E" w:rsidRDefault="00E4055E" w:rsidP="00522293">
            <w:pPr>
              <w:jc w:val="center"/>
              <w:rPr>
                <w:rFonts w:ascii="BPG Arial" w:hAnsi="BPG Arial" w:cs="BPG Arial"/>
                <w:b w:val="0"/>
                <w:sz w:val="20"/>
                <w:szCs w:val="20"/>
                <w:lang w:val="ka-GE"/>
              </w:rPr>
            </w:pPr>
            <w:r w:rsidRPr="00E4055E">
              <w:rPr>
                <w:rFonts w:ascii="BPG Arial" w:hAnsi="BPG Arial" w:cs="BPG Arial"/>
                <w:b w:val="0"/>
                <w:sz w:val="20"/>
                <w:szCs w:val="20"/>
                <w:lang w:val="ka-GE"/>
              </w:rPr>
              <w:t>USD</w:t>
            </w:r>
          </w:p>
        </w:tc>
        <w:tc>
          <w:tcPr>
            <w:tcW w:w="1275"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1,789</w:t>
            </w:r>
          </w:p>
        </w:tc>
        <w:tc>
          <w:tcPr>
            <w:tcW w:w="1589"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1,789</w:t>
            </w:r>
          </w:p>
        </w:tc>
        <w:tc>
          <w:tcPr>
            <w:tcW w:w="1117"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4,789</w:t>
            </w:r>
          </w:p>
        </w:tc>
      </w:tr>
      <w:tr w:rsidR="00E4055E" w:rsidRPr="00E4055E" w:rsidTr="00522293">
        <w:trPr>
          <w:trHeight w:val="261"/>
        </w:trPr>
        <w:tc>
          <w:tcPr>
            <w:cnfStyle w:val="001000000000" w:firstRow="0" w:lastRow="0" w:firstColumn="1" w:lastColumn="0" w:oddVBand="0" w:evenVBand="0" w:oddHBand="0" w:evenHBand="0" w:firstRowFirstColumn="0" w:firstRowLastColumn="0" w:lastRowFirstColumn="0" w:lastRowLastColumn="0"/>
            <w:tcW w:w="982" w:type="dxa"/>
          </w:tcPr>
          <w:p w:rsidR="00E4055E" w:rsidRPr="00E4055E" w:rsidRDefault="00E4055E" w:rsidP="00522293">
            <w:pPr>
              <w:jc w:val="center"/>
              <w:rPr>
                <w:rFonts w:ascii="BPG Arial" w:hAnsi="BPG Arial" w:cs="BPG Arial"/>
                <w:b w:val="0"/>
                <w:sz w:val="20"/>
                <w:szCs w:val="20"/>
                <w:lang w:val="ka-GE"/>
              </w:rPr>
            </w:pPr>
            <w:r w:rsidRPr="00E4055E">
              <w:rPr>
                <w:rFonts w:ascii="BPG Arial" w:hAnsi="BPG Arial" w:cs="BPG Arial"/>
                <w:b w:val="0"/>
                <w:sz w:val="20"/>
                <w:szCs w:val="20"/>
                <w:lang w:val="ka-GE"/>
              </w:rPr>
              <w:t>SDR</w:t>
            </w:r>
          </w:p>
        </w:tc>
        <w:tc>
          <w:tcPr>
            <w:tcW w:w="1275" w:type="dxa"/>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1,333</w:t>
            </w:r>
          </w:p>
        </w:tc>
        <w:tc>
          <w:tcPr>
            <w:tcW w:w="1589" w:type="dxa"/>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1,854</w:t>
            </w:r>
          </w:p>
        </w:tc>
        <w:tc>
          <w:tcPr>
            <w:tcW w:w="1117" w:type="dxa"/>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4,962</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82" w:type="dxa"/>
          </w:tcPr>
          <w:p w:rsidR="00E4055E" w:rsidRPr="00E4055E" w:rsidRDefault="00E4055E" w:rsidP="00522293">
            <w:pPr>
              <w:jc w:val="center"/>
              <w:rPr>
                <w:rFonts w:ascii="BPG Arial" w:hAnsi="BPG Arial" w:cs="BPG Arial"/>
                <w:b w:val="0"/>
                <w:sz w:val="20"/>
                <w:szCs w:val="20"/>
                <w:lang w:val="ka-GE"/>
              </w:rPr>
            </w:pPr>
            <w:r w:rsidRPr="00E4055E">
              <w:rPr>
                <w:rFonts w:ascii="BPG Arial" w:hAnsi="BPG Arial" w:cs="BPG Arial"/>
                <w:b w:val="0"/>
                <w:sz w:val="20"/>
                <w:szCs w:val="20"/>
                <w:lang w:val="ka-GE"/>
              </w:rPr>
              <w:t>EUR</w:t>
            </w:r>
          </w:p>
        </w:tc>
        <w:tc>
          <w:tcPr>
            <w:tcW w:w="1275"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1,218</w:t>
            </w:r>
          </w:p>
        </w:tc>
        <w:tc>
          <w:tcPr>
            <w:tcW w:w="1589"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1,397</w:t>
            </w:r>
          </w:p>
        </w:tc>
        <w:tc>
          <w:tcPr>
            <w:tcW w:w="1117"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3,738</w:t>
            </w:r>
          </w:p>
        </w:tc>
      </w:tr>
      <w:tr w:rsidR="00E4055E" w:rsidRPr="00E4055E" w:rsidTr="00522293">
        <w:trPr>
          <w:trHeight w:val="261"/>
        </w:trPr>
        <w:tc>
          <w:tcPr>
            <w:cnfStyle w:val="001000000000" w:firstRow="0" w:lastRow="0" w:firstColumn="1" w:lastColumn="0" w:oddVBand="0" w:evenVBand="0" w:oddHBand="0" w:evenHBand="0" w:firstRowFirstColumn="0" w:firstRowLastColumn="0" w:lastRowFirstColumn="0" w:lastRowLastColumn="0"/>
            <w:tcW w:w="982" w:type="dxa"/>
          </w:tcPr>
          <w:p w:rsidR="00E4055E" w:rsidRPr="00E4055E" w:rsidRDefault="00E4055E" w:rsidP="00522293">
            <w:pPr>
              <w:jc w:val="center"/>
              <w:rPr>
                <w:rFonts w:ascii="BPG Arial" w:hAnsi="BPG Arial" w:cs="BPG Arial"/>
                <w:b w:val="0"/>
                <w:sz w:val="20"/>
                <w:szCs w:val="20"/>
                <w:lang w:val="ka-GE"/>
              </w:rPr>
            </w:pPr>
            <w:r w:rsidRPr="00E4055E">
              <w:rPr>
                <w:rFonts w:ascii="BPG Arial" w:hAnsi="BPG Arial" w:cs="BPG Arial"/>
                <w:b w:val="0"/>
                <w:sz w:val="20"/>
                <w:szCs w:val="20"/>
                <w:lang w:val="ka-GE"/>
              </w:rPr>
              <w:t>KWD</w:t>
            </w:r>
          </w:p>
        </w:tc>
        <w:tc>
          <w:tcPr>
            <w:tcW w:w="1275" w:type="dxa"/>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3</w:t>
            </w:r>
          </w:p>
        </w:tc>
        <w:tc>
          <w:tcPr>
            <w:tcW w:w="1589" w:type="dxa"/>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11</w:t>
            </w:r>
          </w:p>
        </w:tc>
        <w:tc>
          <w:tcPr>
            <w:tcW w:w="1117" w:type="dxa"/>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28</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82" w:type="dxa"/>
          </w:tcPr>
          <w:p w:rsidR="00E4055E" w:rsidRPr="00E4055E" w:rsidRDefault="00E4055E" w:rsidP="00522293">
            <w:pPr>
              <w:jc w:val="center"/>
              <w:rPr>
                <w:rFonts w:ascii="BPG Arial" w:hAnsi="BPG Arial" w:cs="BPG Arial"/>
                <w:b w:val="0"/>
                <w:sz w:val="20"/>
                <w:szCs w:val="20"/>
                <w:lang w:val="ka-GE"/>
              </w:rPr>
            </w:pPr>
            <w:r w:rsidRPr="00E4055E">
              <w:rPr>
                <w:rFonts w:ascii="BPG Arial" w:hAnsi="BPG Arial" w:cs="BPG Arial"/>
                <w:b w:val="0"/>
                <w:sz w:val="20"/>
                <w:szCs w:val="20"/>
                <w:lang w:val="ka-GE"/>
              </w:rPr>
              <w:t>JPY</w:t>
            </w:r>
          </w:p>
        </w:tc>
        <w:tc>
          <w:tcPr>
            <w:tcW w:w="1275"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23,689</w:t>
            </w:r>
          </w:p>
        </w:tc>
        <w:tc>
          <w:tcPr>
            <w:tcW w:w="1589"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215</w:t>
            </w:r>
          </w:p>
        </w:tc>
        <w:tc>
          <w:tcPr>
            <w:tcW w:w="1117"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575</w:t>
            </w:r>
          </w:p>
        </w:tc>
      </w:tr>
      <w:tr w:rsidR="00E4055E" w:rsidRPr="00E4055E" w:rsidTr="00522293">
        <w:trPr>
          <w:trHeight w:val="261"/>
        </w:trPr>
        <w:tc>
          <w:tcPr>
            <w:cnfStyle w:val="001000000000" w:firstRow="0" w:lastRow="0" w:firstColumn="1" w:lastColumn="0" w:oddVBand="0" w:evenVBand="0" w:oddHBand="0" w:evenHBand="0" w:firstRowFirstColumn="0" w:firstRowLastColumn="0" w:lastRowFirstColumn="0" w:lastRowLastColumn="0"/>
            <w:tcW w:w="982" w:type="dxa"/>
          </w:tcPr>
          <w:p w:rsidR="00E4055E" w:rsidRPr="00E4055E" w:rsidRDefault="00E4055E" w:rsidP="00522293">
            <w:pPr>
              <w:jc w:val="center"/>
              <w:rPr>
                <w:rFonts w:ascii="BPG Arial" w:hAnsi="BPG Arial" w:cs="BPG Arial"/>
                <w:b w:val="0"/>
                <w:sz w:val="20"/>
                <w:szCs w:val="20"/>
                <w:lang w:val="ka-GE"/>
              </w:rPr>
            </w:pPr>
            <w:r w:rsidRPr="00E4055E">
              <w:rPr>
                <w:rFonts w:ascii="BPG Arial" w:hAnsi="BPG Arial" w:cs="BPG Arial"/>
                <w:b w:val="0"/>
                <w:sz w:val="20"/>
                <w:szCs w:val="20"/>
                <w:lang w:val="ka-GE"/>
              </w:rPr>
              <w:t>CNY</w:t>
            </w:r>
          </w:p>
        </w:tc>
        <w:tc>
          <w:tcPr>
            <w:tcW w:w="1275" w:type="dxa"/>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12</w:t>
            </w:r>
          </w:p>
        </w:tc>
        <w:tc>
          <w:tcPr>
            <w:tcW w:w="1589" w:type="dxa"/>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2</w:t>
            </w:r>
          </w:p>
        </w:tc>
        <w:tc>
          <w:tcPr>
            <w:tcW w:w="1117" w:type="dxa"/>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5</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82" w:type="dxa"/>
          </w:tcPr>
          <w:p w:rsidR="00E4055E" w:rsidRPr="00E4055E" w:rsidRDefault="00E4055E" w:rsidP="00522293">
            <w:pPr>
              <w:jc w:val="center"/>
              <w:rPr>
                <w:rFonts w:ascii="BPG Arial" w:hAnsi="BPG Arial" w:cs="BPG Arial"/>
                <w:b w:val="0"/>
                <w:sz w:val="20"/>
                <w:szCs w:val="20"/>
                <w:lang w:val="ka-GE"/>
              </w:rPr>
            </w:pPr>
            <w:r w:rsidRPr="00E4055E">
              <w:rPr>
                <w:rFonts w:ascii="BPG Arial" w:hAnsi="BPG Arial" w:cs="BPG Arial"/>
                <w:b w:val="0"/>
                <w:sz w:val="20"/>
                <w:szCs w:val="20"/>
                <w:lang w:val="ka-GE"/>
              </w:rPr>
              <w:t>სულ</w:t>
            </w:r>
          </w:p>
        </w:tc>
        <w:tc>
          <w:tcPr>
            <w:tcW w:w="1275"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p>
        </w:tc>
        <w:tc>
          <w:tcPr>
            <w:tcW w:w="1589"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5,267</w:t>
            </w:r>
          </w:p>
        </w:tc>
        <w:tc>
          <w:tcPr>
            <w:tcW w:w="1117" w:type="dxa"/>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14,098</w:t>
            </w:r>
          </w:p>
        </w:tc>
      </w:tr>
    </w:tbl>
    <w:p w:rsidR="00E4055E" w:rsidRPr="00E4055E" w:rsidRDefault="00E4055E" w:rsidP="00E4055E">
      <w:pPr>
        <w:spacing w:before="120"/>
        <w:jc w:val="both"/>
        <w:rPr>
          <w:rFonts w:ascii="BPG Arial" w:hAnsi="BPG Arial" w:cs="BPG Arial"/>
          <w:i/>
          <w:sz w:val="16"/>
          <w:szCs w:val="20"/>
          <w:lang w:val="ka-GE"/>
        </w:rPr>
      </w:pPr>
      <w:r w:rsidRPr="00E4055E">
        <w:rPr>
          <w:rFonts w:ascii="BPG Arial" w:hAnsi="BPG Arial" w:cs="BPG Arial"/>
          <w:i/>
          <w:sz w:val="16"/>
          <w:szCs w:val="20"/>
          <w:lang w:val="ka-GE"/>
        </w:rPr>
        <w:t>წყარო: საქართველოს ფინანსთა სამინისტრო</w:t>
      </w:r>
    </w:p>
    <w:p w:rsidR="00E4055E" w:rsidRPr="00E4055E" w:rsidRDefault="00E4055E" w:rsidP="00E4055E">
      <w:pPr>
        <w:jc w:val="both"/>
        <w:rPr>
          <w:rFonts w:ascii="BPG Arial" w:hAnsi="BPG Arial" w:cs="BPG Arial"/>
          <w:sz w:val="20"/>
          <w:szCs w:val="20"/>
          <w:lang w:val="ka-GE"/>
        </w:rPr>
      </w:pPr>
      <w:r w:rsidRPr="00E4055E">
        <w:rPr>
          <w:rFonts w:ascii="BPG Arial" w:hAnsi="BPG Arial" w:cs="BPG Arial"/>
          <w:sz w:val="20"/>
          <w:szCs w:val="20"/>
          <w:lang w:val="ka-GE"/>
        </w:rPr>
        <w:t xml:space="preserve">2018 წელს აშშ დოლარი გაუფასურდა იაპონური იენის მიმართ, ხოლო გამყარდა  პორტფელში არსებული ყველა სხვა ვალუტის მიმართ. 2017 წლის ბოლოს მდგომარეობით ლარის გაცვლითი კურსი აშშ </w:t>
      </w:r>
    </w:p>
    <w:p w:rsidR="00E4055E" w:rsidRPr="00E4055E" w:rsidRDefault="00E4055E" w:rsidP="00E4055E">
      <w:pPr>
        <w:jc w:val="both"/>
        <w:rPr>
          <w:rFonts w:ascii="BPG Arial" w:hAnsi="BPG Arial" w:cs="BPG Arial"/>
          <w:sz w:val="20"/>
          <w:szCs w:val="20"/>
          <w:lang w:val="ka-GE"/>
        </w:rPr>
      </w:pPr>
    </w:p>
    <w:p w:rsidR="00E4055E" w:rsidRPr="00E4055E" w:rsidRDefault="00E4055E" w:rsidP="00E4055E">
      <w:pPr>
        <w:jc w:val="both"/>
        <w:rPr>
          <w:rFonts w:ascii="BPG Arial" w:hAnsi="BPG Arial" w:cs="BPG Arial"/>
          <w:sz w:val="20"/>
          <w:szCs w:val="20"/>
          <w:lang w:val="ka-GE"/>
        </w:rPr>
      </w:pPr>
      <w:r w:rsidRPr="00E4055E">
        <w:rPr>
          <w:rFonts w:ascii="BPG Arial" w:hAnsi="BPG Arial" w:cs="BPG Arial"/>
          <w:sz w:val="20"/>
          <w:szCs w:val="20"/>
          <w:lang w:val="ka-GE"/>
        </w:rPr>
        <w:t>დოლარის მიმართ შეადგენდა 2.592-ს, ხოლო 2018 წლის იმავე პერიოდის მდგომარეობით 2.677-ს.</w:t>
      </w:r>
    </w:p>
    <w:p w:rsidR="00E4055E" w:rsidRPr="00E4055E" w:rsidRDefault="00E4055E" w:rsidP="00E4055E">
      <w:pPr>
        <w:pStyle w:val="Heading2"/>
        <w:rPr>
          <w:rFonts w:ascii="BPG Arial" w:hAnsi="BPG Arial"/>
        </w:rPr>
      </w:pPr>
      <w:r w:rsidRPr="00E4055E">
        <w:rPr>
          <w:rFonts w:ascii="BPG Arial" w:hAnsi="BPG Arial"/>
        </w:rPr>
        <w:t>ცხრილი 1.3 გაცვლითი კურსების დინამიკა (აშშ დოლარის მიმართ)</w:t>
      </w:r>
    </w:p>
    <w:tbl>
      <w:tblPr>
        <w:tblStyle w:val="ListTable1Light-Accent3"/>
        <w:tblW w:w="4983" w:type="pct"/>
        <w:tblLayout w:type="fixed"/>
        <w:tblLook w:val="04A0" w:firstRow="1" w:lastRow="0" w:firstColumn="1" w:lastColumn="0" w:noHBand="0" w:noVBand="1"/>
      </w:tblPr>
      <w:tblGrid>
        <w:gridCol w:w="1246"/>
        <w:gridCol w:w="1014"/>
        <w:gridCol w:w="1132"/>
        <w:gridCol w:w="1631"/>
      </w:tblGrid>
      <w:tr w:rsidR="00E4055E" w:rsidRPr="00E4055E" w:rsidTr="0052229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240" w:type="pct"/>
            <w:shd w:val="clear" w:color="auto" w:fill="82B2DE"/>
            <w:vAlign w:val="center"/>
          </w:tcPr>
          <w:p w:rsidR="00E4055E" w:rsidRPr="00E4055E" w:rsidRDefault="00E4055E" w:rsidP="00522293">
            <w:pPr>
              <w:jc w:val="center"/>
              <w:rPr>
                <w:rFonts w:ascii="BPG Arial" w:hAnsi="BPG Arial" w:cs="BPG Arial"/>
                <w:sz w:val="20"/>
                <w:szCs w:val="20"/>
                <w:lang w:val="ka-GE"/>
              </w:rPr>
            </w:pPr>
            <w:r w:rsidRPr="00E4055E">
              <w:rPr>
                <w:rFonts w:ascii="BPG Arial" w:hAnsi="BPG Arial" w:cs="BPG Arial"/>
                <w:sz w:val="20"/>
                <w:szCs w:val="20"/>
                <w:lang w:val="ka-GE"/>
              </w:rPr>
              <w:t>ვალუტები</w:t>
            </w:r>
          </w:p>
        </w:tc>
        <w:tc>
          <w:tcPr>
            <w:tcW w:w="1009" w:type="pct"/>
            <w:shd w:val="clear" w:color="auto" w:fill="82B2DE"/>
            <w:vAlign w:val="center"/>
          </w:tcPr>
          <w:p w:rsidR="00E4055E" w:rsidRPr="00E4055E" w:rsidRDefault="00E4055E" w:rsidP="00522293">
            <w:pPr>
              <w:jc w:val="center"/>
              <w:cnfStyle w:val="100000000000" w:firstRow="1"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2017</w:t>
            </w:r>
          </w:p>
        </w:tc>
        <w:tc>
          <w:tcPr>
            <w:tcW w:w="1127" w:type="pct"/>
            <w:shd w:val="clear" w:color="auto" w:fill="82B2DE"/>
            <w:vAlign w:val="center"/>
          </w:tcPr>
          <w:p w:rsidR="00E4055E" w:rsidRPr="00E4055E" w:rsidRDefault="00E4055E" w:rsidP="00522293">
            <w:pPr>
              <w:jc w:val="center"/>
              <w:cnfStyle w:val="100000000000" w:firstRow="1"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2018</w:t>
            </w:r>
          </w:p>
        </w:tc>
        <w:tc>
          <w:tcPr>
            <w:tcW w:w="1624" w:type="pct"/>
            <w:shd w:val="clear" w:color="auto" w:fill="82B2DE"/>
            <w:vAlign w:val="center"/>
          </w:tcPr>
          <w:p w:rsidR="00E4055E" w:rsidRPr="00E4055E" w:rsidRDefault="00E4055E" w:rsidP="00522293">
            <w:pPr>
              <w:jc w:val="center"/>
              <w:cnfStyle w:val="100000000000" w:firstRow="1"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 ცვლილება</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240" w:type="pct"/>
          </w:tcPr>
          <w:p w:rsidR="00E4055E" w:rsidRPr="00E4055E" w:rsidRDefault="00E4055E" w:rsidP="00522293">
            <w:pPr>
              <w:jc w:val="center"/>
              <w:rPr>
                <w:rFonts w:ascii="BPG Arial" w:eastAsia="Times New Roman" w:hAnsi="BPG Arial" w:cs="BPG Arial"/>
                <w:b w:val="0"/>
                <w:sz w:val="20"/>
                <w:szCs w:val="20"/>
                <w:lang w:val="ka-GE"/>
              </w:rPr>
            </w:pPr>
            <w:r w:rsidRPr="00E4055E">
              <w:rPr>
                <w:rFonts w:ascii="BPG Arial" w:eastAsia="Times New Roman" w:hAnsi="BPG Arial" w:cs="BPG Arial"/>
                <w:b w:val="0"/>
                <w:sz w:val="20"/>
                <w:szCs w:val="20"/>
                <w:lang w:val="ka-GE"/>
              </w:rPr>
              <w:t>EUR/USD</w:t>
            </w:r>
          </w:p>
        </w:tc>
        <w:tc>
          <w:tcPr>
            <w:tcW w:w="1009" w:type="pct"/>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1.198</w:t>
            </w:r>
          </w:p>
        </w:tc>
        <w:tc>
          <w:tcPr>
            <w:tcW w:w="1127" w:type="pct"/>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1.147</w:t>
            </w:r>
          </w:p>
        </w:tc>
        <w:tc>
          <w:tcPr>
            <w:tcW w:w="1624" w:type="pct"/>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-4.2%</w:t>
            </w:r>
          </w:p>
        </w:tc>
      </w:tr>
      <w:tr w:rsidR="00E4055E" w:rsidRPr="00E4055E" w:rsidTr="00522293">
        <w:trPr>
          <w:trHeight w:val="261"/>
        </w:trPr>
        <w:tc>
          <w:tcPr>
            <w:cnfStyle w:val="001000000000" w:firstRow="0" w:lastRow="0" w:firstColumn="1" w:lastColumn="0" w:oddVBand="0" w:evenVBand="0" w:oddHBand="0" w:evenHBand="0" w:firstRowFirstColumn="0" w:firstRowLastColumn="0" w:lastRowFirstColumn="0" w:lastRowLastColumn="0"/>
            <w:tcW w:w="1240" w:type="pct"/>
          </w:tcPr>
          <w:p w:rsidR="00E4055E" w:rsidRPr="00E4055E" w:rsidRDefault="00E4055E" w:rsidP="00522293">
            <w:pPr>
              <w:jc w:val="center"/>
              <w:rPr>
                <w:rFonts w:ascii="BPG Arial" w:eastAsia="Times New Roman" w:hAnsi="BPG Arial" w:cs="BPG Arial"/>
                <w:b w:val="0"/>
                <w:sz w:val="20"/>
                <w:szCs w:val="20"/>
                <w:lang w:val="ka-GE"/>
              </w:rPr>
            </w:pPr>
            <w:r w:rsidRPr="00E4055E">
              <w:rPr>
                <w:rFonts w:ascii="BPG Arial" w:eastAsia="Times New Roman" w:hAnsi="BPG Arial" w:cs="BPG Arial"/>
                <w:b w:val="0"/>
                <w:sz w:val="20"/>
                <w:szCs w:val="20"/>
                <w:lang w:val="ka-GE"/>
              </w:rPr>
              <w:t>SDR/USD</w:t>
            </w:r>
          </w:p>
        </w:tc>
        <w:tc>
          <w:tcPr>
            <w:tcW w:w="1009" w:type="pct"/>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1.424</w:t>
            </w:r>
          </w:p>
        </w:tc>
        <w:tc>
          <w:tcPr>
            <w:tcW w:w="1127" w:type="pct"/>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1.391</w:t>
            </w:r>
          </w:p>
        </w:tc>
        <w:tc>
          <w:tcPr>
            <w:tcW w:w="1624" w:type="pct"/>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-2.3%</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240" w:type="pct"/>
          </w:tcPr>
          <w:p w:rsidR="00E4055E" w:rsidRPr="00E4055E" w:rsidRDefault="00E4055E" w:rsidP="00522293">
            <w:pPr>
              <w:jc w:val="center"/>
              <w:rPr>
                <w:rFonts w:ascii="BPG Arial" w:eastAsia="Times New Roman" w:hAnsi="BPG Arial" w:cs="BPG Arial"/>
                <w:b w:val="0"/>
                <w:sz w:val="20"/>
                <w:szCs w:val="20"/>
                <w:lang w:val="ka-GE"/>
              </w:rPr>
            </w:pPr>
            <w:r w:rsidRPr="00E4055E">
              <w:rPr>
                <w:rFonts w:ascii="BPG Arial" w:eastAsia="Times New Roman" w:hAnsi="BPG Arial" w:cs="BPG Arial"/>
                <w:b w:val="0"/>
                <w:sz w:val="20"/>
                <w:szCs w:val="20"/>
                <w:lang w:val="ka-GE"/>
              </w:rPr>
              <w:t>CNY/USD</w:t>
            </w:r>
          </w:p>
        </w:tc>
        <w:tc>
          <w:tcPr>
            <w:tcW w:w="1009" w:type="pct"/>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0.154</w:t>
            </w:r>
          </w:p>
        </w:tc>
        <w:tc>
          <w:tcPr>
            <w:tcW w:w="1127" w:type="pct"/>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0.146</w:t>
            </w:r>
          </w:p>
        </w:tc>
        <w:tc>
          <w:tcPr>
            <w:tcW w:w="1624" w:type="pct"/>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-5.3%</w:t>
            </w:r>
          </w:p>
        </w:tc>
      </w:tr>
      <w:tr w:rsidR="00E4055E" w:rsidRPr="00E4055E" w:rsidTr="00522293">
        <w:trPr>
          <w:trHeight w:val="261"/>
        </w:trPr>
        <w:tc>
          <w:tcPr>
            <w:cnfStyle w:val="001000000000" w:firstRow="0" w:lastRow="0" w:firstColumn="1" w:lastColumn="0" w:oddVBand="0" w:evenVBand="0" w:oddHBand="0" w:evenHBand="0" w:firstRowFirstColumn="0" w:firstRowLastColumn="0" w:lastRowFirstColumn="0" w:lastRowLastColumn="0"/>
            <w:tcW w:w="1240" w:type="pct"/>
          </w:tcPr>
          <w:p w:rsidR="00E4055E" w:rsidRPr="00E4055E" w:rsidRDefault="00E4055E" w:rsidP="00522293">
            <w:pPr>
              <w:jc w:val="center"/>
              <w:rPr>
                <w:rFonts w:ascii="BPG Arial" w:eastAsia="Times New Roman" w:hAnsi="BPG Arial" w:cs="BPG Arial"/>
                <w:b w:val="0"/>
                <w:sz w:val="20"/>
                <w:szCs w:val="20"/>
                <w:lang w:val="ka-GE"/>
              </w:rPr>
            </w:pPr>
            <w:r w:rsidRPr="00E4055E">
              <w:rPr>
                <w:rFonts w:ascii="BPG Arial" w:eastAsia="Times New Roman" w:hAnsi="BPG Arial" w:cs="BPG Arial"/>
                <w:b w:val="0"/>
                <w:sz w:val="20"/>
                <w:szCs w:val="20"/>
                <w:lang w:val="ka-GE"/>
              </w:rPr>
              <w:t>JPY/USD</w:t>
            </w:r>
          </w:p>
        </w:tc>
        <w:tc>
          <w:tcPr>
            <w:tcW w:w="1009" w:type="pct"/>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0.009</w:t>
            </w:r>
          </w:p>
        </w:tc>
        <w:tc>
          <w:tcPr>
            <w:tcW w:w="1127" w:type="pct"/>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0.009</w:t>
            </w:r>
          </w:p>
        </w:tc>
        <w:tc>
          <w:tcPr>
            <w:tcW w:w="1624" w:type="pct"/>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2.1%</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240" w:type="pct"/>
          </w:tcPr>
          <w:p w:rsidR="00E4055E" w:rsidRPr="00E4055E" w:rsidRDefault="00E4055E" w:rsidP="00522293">
            <w:pPr>
              <w:jc w:val="center"/>
              <w:rPr>
                <w:rFonts w:ascii="BPG Arial" w:eastAsia="Times New Roman" w:hAnsi="BPG Arial" w:cs="BPG Arial"/>
                <w:b w:val="0"/>
                <w:sz w:val="20"/>
                <w:szCs w:val="20"/>
                <w:lang w:val="ka-GE"/>
              </w:rPr>
            </w:pPr>
            <w:r w:rsidRPr="00E4055E">
              <w:rPr>
                <w:rFonts w:ascii="BPG Arial" w:eastAsia="Times New Roman" w:hAnsi="BPG Arial" w:cs="BPG Arial"/>
                <w:b w:val="0"/>
                <w:sz w:val="20"/>
                <w:szCs w:val="20"/>
                <w:lang w:val="ka-GE"/>
              </w:rPr>
              <w:t>KWD/USD</w:t>
            </w:r>
          </w:p>
        </w:tc>
        <w:tc>
          <w:tcPr>
            <w:tcW w:w="1009" w:type="pct"/>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3.315</w:t>
            </w:r>
          </w:p>
        </w:tc>
        <w:tc>
          <w:tcPr>
            <w:tcW w:w="1127" w:type="pct"/>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3.294</w:t>
            </w:r>
          </w:p>
        </w:tc>
        <w:tc>
          <w:tcPr>
            <w:tcW w:w="1624" w:type="pct"/>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-0.6%</w:t>
            </w:r>
          </w:p>
        </w:tc>
      </w:tr>
      <w:tr w:rsidR="00E4055E" w:rsidRPr="00E4055E" w:rsidTr="00522293">
        <w:trPr>
          <w:trHeight w:val="261"/>
        </w:trPr>
        <w:tc>
          <w:tcPr>
            <w:cnfStyle w:val="001000000000" w:firstRow="0" w:lastRow="0" w:firstColumn="1" w:lastColumn="0" w:oddVBand="0" w:evenVBand="0" w:oddHBand="0" w:evenHBand="0" w:firstRowFirstColumn="0" w:firstRowLastColumn="0" w:lastRowFirstColumn="0" w:lastRowLastColumn="0"/>
            <w:tcW w:w="1240" w:type="pct"/>
          </w:tcPr>
          <w:p w:rsidR="00E4055E" w:rsidRPr="00E4055E" w:rsidRDefault="00E4055E" w:rsidP="00522293">
            <w:pPr>
              <w:jc w:val="center"/>
              <w:rPr>
                <w:rFonts w:ascii="BPG Arial" w:eastAsia="Times New Roman" w:hAnsi="BPG Arial" w:cs="BPG Arial"/>
                <w:b w:val="0"/>
                <w:sz w:val="20"/>
                <w:szCs w:val="20"/>
                <w:lang w:val="ka-GE"/>
              </w:rPr>
            </w:pPr>
            <w:r w:rsidRPr="00E4055E">
              <w:rPr>
                <w:rFonts w:ascii="BPG Arial" w:eastAsia="Times New Roman" w:hAnsi="BPG Arial" w:cs="BPG Arial"/>
                <w:b w:val="0"/>
                <w:sz w:val="20"/>
                <w:szCs w:val="20"/>
                <w:lang w:val="ka-GE"/>
              </w:rPr>
              <w:t>GEL/USD</w:t>
            </w:r>
          </w:p>
        </w:tc>
        <w:tc>
          <w:tcPr>
            <w:tcW w:w="1009" w:type="pct"/>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0.386</w:t>
            </w:r>
          </w:p>
        </w:tc>
        <w:tc>
          <w:tcPr>
            <w:tcW w:w="1127" w:type="pct"/>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0.374</w:t>
            </w:r>
          </w:p>
        </w:tc>
        <w:tc>
          <w:tcPr>
            <w:tcW w:w="1624" w:type="pct"/>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-3.3%</w:t>
            </w:r>
          </w:p>
        </w:tc>
      </w:tr>
    </w:tbl>
    <w:p w:rsidR="00E4055E" w:rsidRPr="00E4055E" w:rsidRDefault="00E4055E" w:rsidP="00E4055E">
      <w:pPr>
        <w:spacing w:before="120"/>
        <w:jc w:val="both"/>
        <w:rPr>
          <w:rFonts w:ascii="BPG Arial" w:hAnsi="BPG Arial" w:cs="BPG Arial"/>
          <w:i/>
          <w:sz w:val="16"/>
          <w:szCs w:val="20"/>
          <w:lang w:val="ka-GE"/>
        </w:rPr>
      </w:pPr>
      <w:r w:rsidRPr="00E4055E">
        <w:rPr>
          <w:rFonts w:ascii="BPG Arial" w:hAnsi="BPG Arial" w:cs="BPG Arial"/>
          <w:i/>
          <w:sz w:val="16"/>
          <w:szCs w:val="20"/>
          <w:lang w:val="ka-GE"/>
        </w:rPr>
        <w:t>წყარო: საქართველოს ეროვნული ბანკი</w:t>
      </w:r>
    </w:p>
    <w:p w:rsidR="00E4055E" w:rsidRPr="00E4055E" w:rsidRDefault="00E4055E" w:rsidP="00E4055E">
      <w:pPr>
        <w:pStyle w:val="Heading2"/>
        <w:rPr>
          <w:rFonts w:ascii="BPG Arial" w:hAnsi="BPG Arial"/>
        </w:rPr>
      </w:pPr>
      <w:r w:rsidRPr="00E4055E">
        <w:rPr>
          <w:rFonts w:ascii="BPG Arial" w:hAnsi="BPG Arial"/>
        </w:rPr>
        <w:t>ცხრილი 1.4 გაცვლითი კურსების დინამიკა (ლარის მიმართ)</w:t>
      </w:r>
    </w:p>
    <w:tbl>
      <w:tblPr>
        <w:tblStyle w:val="ListTable1Light-Accent3"/>
        <w:tblW w:w="5010" w:type="pct"/>
        <w:tblLayout w:type="fixed"/>
        <w:tblLook w:val="04A0" w:firstRow="1" w:lastRow="0" w:firstColumn="1" w:lastColumn="0" w:noHBand="0" w:noVBand="1"/>
      </w:tblPr>
      <w:tblGrid>
        <w:gridCol w:w="1257"/>
        <w:gridCol w:w="1020"/>
        <w:gridCol w:w="1139"/>
        <w:gridCol w:w="1634"/>
      </w:tblGrid>
      <w:tr w:rsidR="00E4055E" w:rsidRPr="00E4055E" w:rsidTr="00522293">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44" w:type="pct"/>
            <w:shd w:val="clear" w:color="auto" w:fill="82B2DE"/>
            <w:vAlign w:val="center"/>
          </w:tcPr>
          <w:p w:rsidR="00E4055E" w:rsidRPr="00E4055E" w:rsidRDefault="00E4055E" w:rsidP="00522293">
            <w:pPr>
              <w:jc w:val="center"/>
              <w:rPr>
                <w:rFonts w:ascii="BPG Arial" w:hAnsi="BPG Arial" w:cs="BPG Arial"/>
                <w:sz w:val="20"/>
                <w:szCs w:val="20"/>
                <w:lang w:val="ka-GE"/>
              </w:rPr>
            </w:pPr>
            <w:r w:rsidRPr="00E4055E">
              <w:rPr>
                <w:rFonts w:ascii="BPG Arial" w:hAnsi="BPG Arial" w:cs="BPG Arial"/>
                <w:sz w:val="20"/>
                <w:szCs w:val="20"/>
                <w:lang w:val="ka-GE"/>
              </w:rPr>
              <w:t>ვალუტები</w:t>
            </w:r>
          </w:p>
        </w:tc>
        <w:tc>
          <w:tcPr>
            <w:tcW w:w="1010" w:type="pct"/>
            <w:shd w:val="clear" w:color="auto" w:fill="82B2DE"/>
            <w:vAlign w:val="center"/>
          </w:tcPr>
          <w:p w:rsidR="00E4055E" w:rsidRPr="00E4055E" w:rsidRDefault="00E4055E" w:rsidP="00522293">
            <w:pPr>
              <w:jc w:val="center"/>
              <w:cnfStyle w:val="100000000000" w:firstRow="1"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2017</w:t>
            </w:r>
          </w:p>
        </w:tc>
        <w:tc>
          <w:tcPr>
            <w:tcW w:w="1128" w:type="pct"/>
            <w:shd w:val="clear" w:color="auto" w:fill="82B2DE"/>
            <w:vAlign w:val="center"/>
          </w:tcPr>
          <w:p w:rsidR="00E4055E" w:rsidRPr="00E4055E" w:rsidRDefault="00E4055E" w:rsidP="00522293">
            <w:pPr>
              <w:jc w:val="center"/>
              <w:cnfStyle w:val="100000000000" w:firstRow="1"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2018</w:t>
            </w:r>
          </w:p>
        </w:tc>
        <w:tc>
          <w:tcPr>
            <w:tcW w:w="1619" w:type="pct"/>
            <w:shd w:val="clear" w:color="auto" w:fill="82B2DE"/>
            <w:vAlign w:val="center"/>
          </w:tcPr>
          <w:p w:rsidR="00E4055E" w:rsidRPr="00E4055E" w:rsidRDefault="00E4055E" w:rsidP="00522293">
            <w:pPr>
              <w:jc w:val="center"/>
              <w:cnfStyle w:val="100000000000" w:firstRow="1"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 ცვლილება</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44" w:type="pct"/>
          </w:tcPr>
          <w:p w:rsidR="00E4055E" w:rsidRPr="00E4055E" w:rsidRDefault="00E4055E" w:rsidP="00522293">
            <w:pPr>
              <w:jc w:val="center"/>
              <w:rPr>
                <w:rFonts w:ascii="BPG Arial" w:eastAsia="Times New Roman" w:hAnsi="BPG Arial" w:cs="BPG Arial"/>
                <w:b w:val="0"/>
                <w:sz w:val="20"/>
                <w:szCs w:val="20"/>
                <w:lang w:val="ka-GE"/>
              </w:rPr>
            </w:pPr>
            <w:r w:rsidRPr="00E4055E">
              <w:rPr>
                <w:rFonts w:ascii="BPG Arial" w:eastAsia="Times New Roman" w:hAnsi="BPG Arial" w:cs="BPG Arial"/>
                <w:b w:val="0"/>
                <w:sz w:val="20"/>
                <w:szCs w:val="20"/>
                <w:lang w:val="ka-GE"/>
              </w:rPr>
              <w:t>EUR/GEL</w:t>
            </w:r>
          </w:p>
        </w:tc>
        <w:tc>
          <w:tcPr>
            <w:tcW w:w="1010" w:type="pct"/>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3.104</w:t>
            </w:r>
          </w:p>
        </w:tc>
        <w:tc>
          <w:tcPr>
            <w:tcW w:w="1128" w:type="pct"/>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3.070</w:t>
            </w:r>
          </w:p>
        </w:tc>
        <w:tc>
          <w:tcPr>
            <w:tcW w:w="1619" w:type="pct"/>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-1.1%</w:t>
            </w:r>
          </w:p>
        </w:tc>
      </w:tr>
      <w:tr w:rsidR="00E4055E" w:rsidRPr="00E4055E" w:rsidTr="00522293">
        <w:trPr>
          <w:trHeight w:val="260"/>
        </w:trPr>
        <w:tc>
          <w:tcPr>
            <w:cnfStyle w:val="001000000000" w:firstRow="0" w:lastRow="0" w:firstColumn="1" w:lastColumn="0" w:oddVBand="0" w:evenVBand="0" w:oddHBand="0" w:evenHBand="0" w:firstRowFirstColumn="0" w:firstRowLastColumn="0" w:lastRowFirstColumn="0" w:lastRowLastColumn="0"/>
            <w:tcW w:w="1244" w:type="pct"/>
          </w:tcPr>
          <w:p w:rsidR="00E4055E" w:rsidRPr="00E4055E" w:rsidRDefault="00E4055E" w:rsidP="00522293">
            <w:pPr>
              <w:jc w:val="center"/>
              <w:rPr>
                <w:rFonts w:ascii="BPG Arial" w:eastAsia="Times New Roman" w:hAnsi="BPG Arial" w:cs="BPG Arial"/>
                <w:b w:val="0"/>
                <w:sz w:val="20"/>
                <w:szCs w:val="20"/>
                <w:lang w:val="ka-GE"/>
              </w:rPr>
            </w:pPr>
            <w:r w:rsidRPr="00E4055E">
              <w:rPr>
                <w:rFonts w:ascii="BPG Arial" w:eastAsia="Times New Roman" w:hAnsi="BPG Arial" w:cs="BPG Arial"/>
                <w:b w:val="0"/>
                <w:sz w:val="20"/>
                <w:szCs w:val="20"/>
                <w:lang w:val="ka-GE"/>
              </w:rPr>
              <w:t>SDR/GEL</w:t>
            </w:r>
          </w:p>
        </w:tc>
        <w:tc>
          <w:tcPr>
            <w:tcW w:w="1010" w:type="pct"/>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3.692</w:t>
            </w:r>
          </w:p>
        </w:tc>
        <w:tc>
          <w:tcPr>
            <w:tcW w:w="1128" w:type="pct"/>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3.723</w:t>
            </w:r>
          </w:p>
        </w:tc>
        <w:tc>
          <w:tcPr>
            <w:tcW w:w="1619" w:type="pct"/>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0.8%</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44" w:type="pct"/>
          </w:tcPr>
          <w:p w:rsidR="00E4055E" w:rsidRPr="00E4055E" w:rsidRDefault="00E4055E" w:rsidP="00522293">
            <w:pPr>
              <w:jc w:val="center"/>
              <w:rPr>
                <w:rFonts w:ascii="BPG Arial" w:eastAsia="Times New Roman" w:hAnsi="BPG Arial" w:cs="BPG Arial"/>
                <w:b w:val="0"/>
                <w:sz w:val="20"/>
                <w:szCs w:val="20"/>
                <w:lang w:val="ka-GE"/>
              </w:rPr>
            </w:pPr>
            <w:r w:rsidRPr="00E4055E">
              <w:rPr>
                <w:rFonts w:ascii="BPG Arial" w:eastAsia="Times New Roman" w:hAnsi="BPG Arial" w:cs="BPG Arial"/>
                <w:b w:val="0"/>
                <w:sz w:val="20"/>
                <w:szCs w:val="20"/>
                <w:lang w:val="ka-GE"/>
              </w:rPr>
              <w:t>CNY/GEL</w:t>
            </w:r>
          </w:p>
        </w:tc>
        <w:tc>
          <w:tcPr>
            <w:tcW w:w="1010" w:type="pct"/>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0.398</w:t>
            </w:r>
          </w:p>
        </w:tc>
        <w:tc>
          <w:tcPr>
            <w:tcW w:w="1128" w:type="pct"/>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0.390</w:t>
            </w:r>
          </w:p>
        </w:tc>
        <w:tc>
          <w:tcPr>
            <w:tcW w:w="1619" w:type="pct"/>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-2.2%</w:t>
            </w:r>
          </w:p>
        </w:tc>
      </w:tr>
      <w:tr w:rsidR="00E4055E" w:rsidRPr="00E4055E" w:rsidTr="00522293">
        <w:trPr>
          <w:trHeight w:val="260"/>
        </w:trPr>
        <w:tc>
          <w:tcPr>
            <w:cnfStyle w:val="001000000000" w:firstRow="0" w:lastRow="0" w:firstColumn="1" w:lastColumn="0" w:oddVBand="0" w:evenVBand="0" w:oddHBand="0" w:evenHBand="0" w:firstRowFirstColumn="0" w:firstRowLastColumn="0" w:lastRowFirstColumn="0" w:lastRowLastColumn="0"/>
            <w:tcW w:w="1244" w:type="pct"/>
          </w:tcPr>
          <w:p w:rsidR="00E4055E" w:rsidRPr="00E4055E" w:rsidRDefault="00E4055E" w:rsidP="00522293">
            <w:pPr>
              <w:jc w:val="center"/>
              <w:rPr>
                <w:rFonts w:ascii="BPG Arial" w:eastAsia="Times New Roman" w:hAnsi="BPG Arial" w:cs="BPG Arial"/>
                <w:b w:val="0"/>
                <w:sz w:val="20"/>
                <w:szCs w:val="20"/>
                <w:lang w:val="ka-GE"/>
              </w:rPr>
            </w:pPr>
            <w:r w:rsidRPr="00E4055E">
              <w:rPr>
                <w:rFonts w:ascii="BPG Arial" w:eastAsia="Times New Roman" w:hAnsi="BPG Arial" w:cs="BPG Arial"/>
                <w:b w:val="0"/>
                <w:sz w:val="20"/>
                <w:szCs w:val="20"/>
                <w:lang w:val="ka-GE"/>
              </w:rPr>
              <w:t>JPY/GEL</w:t>
            </w:r>
          </w:p>
        </w:tc>
        <w:tc>
          <w:tcPr>
            <w:tcW w:w="1010" w:type="pct"/>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0.023</w:t>
            </w:r>
          </w:p>
        </w:tc>
        <w:tc>
          <w:tcPr>
            <w:tcW w:w="1128" w:type="pct"/>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0.024</w:t>
            </w:r>
          </w:p>
        </w:tc>
        <w:tc>
          <w:tcPr>
            <w:tcW w:w="1619" w:type="pct"/>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5.4%</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44" w:type="pct"/>
          </w:tcPr>
          <w:p w:rsidR="00E4055E" w:rsidRPr="00E4055E" w:rsidRDefault="00E4055E" w:rsidP="00522293">
            <w:pPr>
              <w:jc w:val="center"/>
              <w:rPr>
                <w:rFonts w:ascii="BPG Arial" w:eastAsia="Times New Roman" w:hAnsi="BPG Arial" w:cs="BPG Arial"/>
                <w:b w:val="0"/>
                <w:sz w:val="20"/>
                <w:szCs w:val="20"/>
                <w:lang w:val="ka-GE"/>
              </w:rPr>
            </w:pPr>
            <w:r w:rsidRPr="00E4055E">
              <w:rPr>
                <w:rFonts w:ascii="BPG Arial" w:eastAsia="Times New Roman" w:hAnsi="BPG Arial" w:cs="BPG Arial"/>
                <w:b w:val="0"/>
                <w:sz w:val="20"/>
                <w:szCs w:val="20"/>
                <w:lang w:val="ka-GE"/>
              </w:rPr>
              <w:t>KWD/GEL</w:t>
            </w:r>
          </w:p>
        </w:tc>
        <w:tc>
          <w:tcPr>
            <w:tcW w:w="1010" w:type="pct"/>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8.592</w:t>
            </w:r>
          </w:p>
        </w:tc>
        <w:tc>
          <w:tcPr>
            <w:tcW w:w="1128" w:type="pct"/>
            <w:vAlign w:val="center"/>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8.816</w:t>
            </w:r>
          </w:p>
        </w:tc>
        <w:tc>
          <w:tcPr>
            <w:tcW w:w="1619" w:type="pct"/>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2.6%</w:t>
            </w:r>
          </w:p>
        </w:tc>
      </w:tr>
      <w:tr w:rsidR="00E4055E" w:rsidRPr="00E4055E" w:rsidTr="00522293">
        <w:trPr>
          <w:trHeight w:val="260"/>
        </w:trPr>
        <w:tc>
          <w:tcPr>
            <w:cnfStyle w:val="001000000000" w:firstRow="0" w:lastRow="0" w:firstColumn="1" w:lastColumn="0" w:oddVBand="0" w:evenVBand="0" w:oddHBand="0" w:evenHBand="0" w:firstRowFirstColumn="0" w:firstRowLastColumn="0" w:lastRowFirstColumn="0" w:lastRowLastColumn="0"/>
            <w:tcW w:w="1244" w:type="pct"/>
          </w:tcPr>
          <w:p w:rsidR="00E4055E" w:rsidRPr="00E4055E" w:rsidRDefault="00E4055E" w:rsidP="00522293">
            <w:pPr>
              <w:jc w:val="center"/>
              <w:rPr>
                <w:rFonts w:ascii="BPG Arial" w:eastAsia="Times New Roman" w:hAnsi="BPG Arial" w:cs="BPG Arial"/>
                <w:b w:val="0"/>
                <w:sz w:val="20"/>
                <w:szCs w:val="20"/>
                <w:lang w:val="ka-GE"/>
              </w:rPr>
            </w:pPr>
            <w:r w:rsidRPr="00E4055E">
              <w:rPr>
                <w:rFonts w:ascii="BPG Arial" w:eastAsia="Times New Roman" w:hAnsi="BPG Arial" w:cs="BPG Arial"/>
                <w:b w:val="0"/>
                <w:sz w:val="20"/>
                <w:szCs w:val="20"/>
                <w:lang w:val="ka-GE"/>
              </w:rPr>
              <w:t>USD/GEL</w:t>
            </w:r>
          </w:p>
        </w:tc>
        <w:tc>
          <w:tcPr>
            <w:tcW w:w="1010" w:type="pct"/>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2.592</w:t>
            </w:r>
          </w:p>
        </w:tc>
        <w:tc>
          <w:tcPr>
            <w:tcW w:w="1128" w:type="pct"/>
            <w:vAlign w:val="center"/>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2.677</w:t>
            </w:r>
          </w:p>
        </w:tc>
        <w:tc>
          <w:tcPr>
            <w:tcW w:w="1619" w:type="pct"/>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eastAsia="Times New Roman" w:hAnsi="BPG Arial" w:cs="BPG Arial"/>
                <w:sz w:val="20"/>
                <w:szCs w:val="20"/>
                <w:lang w:val="ka-GE"/>
              </w:rPr>
            </w:pPr>
            <w:r w:rsidRPr="00E4055E">
              <w:rPr>
                <w:rFonts w:ascii="BPG Arial" w:eastAsia="Times New Roman" w:hAnsi="BPG Arial" w:cs="BPG Arial"/>
                <w:sz w:val="20"/>
                <w:szCs w:val="20"/>
                <w:lang w:val="ka-GE"/>
              </w:rPr>
              <w:t>3.3%</w:t>
            </w:r>
          </w:p>
        </w:tc>
      </w:tr>
    </w:tbl>
    <w:p w:rsidR="00E4055E" w:rsidRPr="00E4055E" w:rsidRDefault="00E4055E" w:rsidP="00E4055E">
      <w:pPr>
        <w:spacing w:before="120"/>
        <w:jc w:val="both"/>
        <w:rPr>
          <w:rFonts w:ascii="BPG Arial" w:hAnsi="BPG Arial" w:cs="BPG Arial"/>
          <w:i/>
          <w:sz w:val="16"/>
          <w:szCs w:val="20"/>
          <w:lang w:val="ka-GE"/>
        </w:rPr>
      </w:pPr>
      <w:r w:rsidRPr="00E4055E">
        <w:rPr>
          <w:rFonts w:ascii="BPG Arial" w:hAnsi="BPG Arial" w:cs="BPG Arial"/>
          <w:i/>
          <w:sz w:val="16"/>
          <w:szCs w:val="20"/>
          <w:lang w:val="ka-GE"/>
        </w:rPr>
        <w:t>წყარო: საქართველოს ეროვნული ბანკი</w:t>
      </w:r>
    </w:p>
    <w:p w:rsidR="00E4055E" w:rsidRPr="00E4055E" w:rsidRDefault="00E4055E" w:rsidP="00E4055E">
      <w:pPr>
        <w:jc w:val="both"/>
        <w:rPr>
          <w:rFonts w:ascii="BPG Arial" w:hAnsi="BPG Arial" w:cs="BPG Arial"/>
          <w:sz w:val="20"/>
          <w:szCs w:val="20"/>
          <w:lang w:val="ka-GE"/>
        </w:rPr>
      </w:pPr>
      <w:r w:rsidRPr="00E4055E">
        <w:rPr>
          <w:rFonts w:ascii="BPG Arial" w:hAnsi="BPG Arial" w:cs="BPG Arial"/>
          <w:sz w:val="20"/>
          <w:szCs w:val="20"/>
          <w:lang w:val="ka-GE"/>
        </w:rPr>
        <w:t>2017 წლის საგარეო ვალის ყველაზე დიდი წილი 39.7% დენომირიბული იყო SDR-ში, 33.8% აშშ დოლარში და 22.1% ევროში. SDR-ის დეკომპოზიციის შედეგად, საგარეო ვალის 50.4% გამოსახული იყო აშშ დოლარში, ხოლო 34.4% ევროში.</w:t>
      </w:r>
    </w:p>
    <w:p w:rsidR="00E4055E" w:rsidRPr="00E4055E" w:rsidRDefault="00E4055E" w:rsidP="00E4055E">
      <w:pPr>
        <w:pStyle w:val="Heading2"/>
        <w:rPr>
          <w:rFonts w:ascii="BPG Arial" w:hAnsi="BPG Arial"/>
        </w:rPr>
      </w:pPr>
      <w:r w:rsidRPr="00E4055E">
        <w:rPr>
          <w:rFonts w:ascii="BPG Arial" w:hAnsi="BPG Arial"/>
          <w:noProof/>
          <w:lang w:val="en-US"/>
        </w:rPr>
        <w:drawing>
          <wp:anchor distT="0" distB="0" distL="114300" distR="114300" simplePos="0" relativeHeight="251664384" behindDoc="1" locked="0" layoutInCell="1" allowOverlap="1" wp14:anchorId="3D36F874" wp14:editId="00E6467F">
            <wp:simplePos x="0" y="0"/>
            <wp:positionH relativeFrom="column">
              <wp:posOffset>161925</wp:posOffset>
            </wp:positionH>
            <wp:positionV relativeFrom="paragraph">
              <wp:posOffset>500821</wp:posOffset>
            </wp:positionV>
            <wp:extent cx="2926080" cy="1737360"/>
            <wp:effectExtent l="0" t="0" r="7620" b="15240"/>
            <wp:wrapTight wrapText="bothSides">
              <wp:wrapPolygon edited="0">
                <wp:start x="0" y="0"/>
                <wp:lineTo x="0" y="21553"/>
                <wp:lineTo x="21516" y="21553"/>
                <wp:lineTo x="21516" y="0"/>
                <wp:lineTo x="0" y="0"/>
              </wp:wrapPolygon>
            </wp:wrapTight>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E4055E">
        <w:rPr>
          <w:rFonts w:ascii="BPG Arial" w:hAnsi="BPG Arial"/>
        </w:rPr>
        <w:t>დიაგრამა 1.1 მთავრობის საგარეო ვალის კომპოზიცია ვალუტების მიხედვით 2017 წლის ბოლოს მდგომარეობით</w:t>
      </w:r>
    </w:p>
    <w:p w:rsidR="00E4055E" w:rsidRPr="00E4055E" w:rsidRDefault="00E4055E" w:rsidP="00E4055E">
      <w:pPr>
        <w:spacing w:before="120"/>
        <w:jc w:val="both"/>
        <w:rPr>
          <w:rFonts w:ascii="BPG Arial" w:hAnsi="BPG Arial" w:cs="BPG Arial"/>
          <w:i/>
          <w:sz w:val="16"/>
          <w:szCs w:val="20"/>
          <w:lang w:val="ka-GE"/>
        </w:rPr>
      </w:pPr>
      <w:r w:rsidRPr="00E4055E">
        <w:rPr>
          <w:rFonts w:ascii="BPG Arial" w:hAnsi="BPG Arial" w:cs="BPG Arial"/>
          <w:i/>
          <w:sz w:val="16"/>
          <w:szCs w:val="20"/>
          <w:lang w:val="ka-GE"/>
        </w:rPr>
        <w:t>წყარო: საქართველოს ფინანსთა სამინისტრო</w:t>
      </w:r>
    </w:p>
    <w:p w:rsidR="00E4055E" w:rsidRPr="00E4055E" w:rsidRDefault="00E4055E" w:rsidP="00E4055E">
      <w:pPr>
        <w:rPr>
          <w:rFonts w:ascii="BPG Arial" w:hAnsi="BPG Arial" w:cs="BPG Arial"/>
          <w:i/>
          <w:color w:val="002060"/>
          <w:sz w:val="20"/>
          <w:szCs w:val="20"/>
          <w:lang w:val="ka-GE"/>
        </w:rPr>
      </w:pPr>
    </w:p>
    <w:p w:rsidR="00E4055E" w:rsidRPr="00E4055E" w:rsidRDefault="00E4055E" w:rsidP="00E4055E">
      <w:pPr>
        <w:pStyle w:val="Heading2"/>
        <w:rPr>
          <w:rFonts w:ascii="BPG Arial" w:hAnsi="BPG Arial"/>
        </w:rPr>
      </w:pPr>
      <w:r w:rsidRPr="00E4055E">
        <w:rPr>
          <w:rFonts w:ascii="BPG Arial" w:hAnsi="BPG Arial"/>
          <w:noProof/>
          <w:lang w:val="en-US"/>
        </w:rPr>
        <w:lastRenderedPageBreak/>
        <w:drawing>
          <wp:anchor distT="0" distB="0" distL="114300" distR="114300" simplePos="0" relativeHeight="251665408" behindDoc="1" locked="0" layoutInCell="1" allowOverlap="1" wp14:anchorId="1D2B2D23" wp14:editId="1C6F57A2">
            <wp:simplePos x="0" y="0"/>
            <wp:positionH relativeFrom="column">
              <wp:posOffset>138430</wp:posOffset>
            </wp:positionH>
            <wp:positionV relativeFrom="paragraph">
              <wp:posOffset>361315</wp:posOffset>
            </wp:positionV>
            <wp:extent cx="2926080" cy="1645920"/>
            <wp:effectExtent l="0" t="0" r="7620" b="11430"/>
            <wp:wrapTight wrapText="bothSides">
              <wp:wrapPolygon edited="0">
                <wp:start x="0" y="0"/>
                <wp:lineTo x="0" y="21500"/>
                <wp:lineTo x="21516" y="21500"/>
                <wp:lineTo x="21516" y="0"/>
                <wp:lineTo x="0" y="0"/>
              </wp:wrapPolygon>
            </wp:wrapTigh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r w:rsidRPr="00E4055E">
        <w:rPr>
          <w:rFonts w:ascii="BPG Arial" w:hAnsi="BPG Arial"/>
        </w:rPr>
        <w:t>დიაგრამა 1.2 მთავრობის საგარეო ვალი SDR-ის დეკომპოზიციით 2017 წლის ბოლოს მდგომარეობით</w:t>
      </w:r>
    </w:p>
    <w:p w:rsidR="00E4055E" w:rsidRPr="00E4055E" w:rsidRDefault="00E4055E" w:rsidP="00E4055E">
      <w:pPr>
        <w:spacing w:before="120"/>
        <w:jc w:val="both"/>
        <w:rPr>
          <w:rFonts w:ascii="BPG Arial" w:hAnsi="BPG Arial" w:cs="BPG Arial"/>
          <w:i/>
          <w:sz w:val="16"/>
          <w:szCs w:val="20"/>
          <w:lang w:val="ka-GE"/>
        </w:rPr>
      </w:pPr>
      <w:r w:rsidRPr="00E4055E">
        <w:rPr>
          <w:rFonts w:ascii="BPG Arial" w:hAnsi="BPG Arial" w:cs="BPG Arial"/>
          <w:i/>
          <w:sz w:val="16"/>
          <w:szCs w:val="20"/>
          <w:lang w:val="ka-GE"/>
        </w:rPr>
        <w:t>წყარო: საქართველოს ფინანსთა სამინისტრო</w:t>
      </w:r>
    </w:p>
    <w:p w:rsidR="00E4055E" w:rsidRPr="00E4055E" w:rsidRDefault="00E4055E" w:rsidP="00E4055E">
      <w:pPr>
        <w:jc w:val="both"/>
        <w:rPr>
          <w:rFonts w:ascii="BPG Arial" w:hAnsi="BPG Arial" w:cs="BPG Arial"/>
          <w:sz w:val="20"/>
          <w:szCs w:val="20"/>
          <w:lang w:val="ka-GE"/>
        </w:rPr>
      </w:pPr>
      <w:r w:rsidRPr="00E4055E">
        <w:rPr>
          <w:rFonts w:ascii="BPG Arial" w:hAnsi="BPG Arial" w:cs="BPG Arial"/>
          <w:sz w:val="20"/>
          <w:szCs w:val="20"/>
          <w:lang w:val="ka-GE"/>
        </w:rPr>
        <w:t>მთავრობის საგარეო ვალის პორტფელის ვალუტების კომპოზიცია მცირედით შეცვლილია 2018 წელს. კერძოდ, მთავრობის საგარეო ვალის პორტფელში შემცირებულია SDR-ის წილი და შეადგენს 35.2%-ს, დოლარში აღებული სესხების წილი თითქმის არ შეცვლილა, ხოლო ევროს წილი გაზრდილია 26.5%-მდე. SDR-ის დეკომპოზიციის შედეგად მთლიანი საგარეო ვალის დაახლოებით 48.7% არის დენომინირებული აშშ დოლარში, ხოლო 37.4% ევროში.</w:t>
      </w:r>
    </w:p>
    <w:p w:rsidR="00E4055E" w:rsidRPr="00E4055E" w:rsidRDefault="00E4055E" w:rsidP="00E4055E">
      <w:pPr>
        <w:pStyle w:val="Heading2"/>
        <w:rPr>
          <w:rFonts w:ascii="BPG Arial" w:hAnsi="BPG Arial"/>
        </w:rPr>
      </w:pPr>
      <w:r w:rsidRPr="00E4055E">
        <w:rPr>
          <w:rFonts w:ascii="BPG Arial" w:hAnsi="BPG Arial"/>
          <w:noProof/>
          <w:shd w:val="clear" w:color="auto" w:fill="82B2DE"/>
          <w:lang w:val="en-US"/>
        </w:rPr>
        <w:drawing>
          <wp:anchor distT="0" distB="0" distL="114300" distR="114300" simplePos="0" relativeHeight="251666432" behindDoc="1" locked="0" layoutInCell="1" allowOverlap="1" wp14:anchorId="76819E81" wp14:editId="65AAA958">
            <wp:simplePos x="0" y="0"/>
            <wp:positionH relativeFrom="column">
              <wp:posOffset>139700</wp:posOffset>
            </wp:positionH>
            <wp:positionV relativeFrom="paragraph">
              <wp:posOffset>574028</wp:posOffset>
            </wp:positionV>
            <wp:extent cx="2876806" cy="1645920"/>
            <wp:effectExtent l="0" t="0" r="0" b="11430"/>
            <wp:wrapTight wrapText="bothSides">
              <wp:wrapPolygon edited="0">
                <wp:start x="0" y="0"/>
                <wp:lineTo x="0" y="21500"/>
                <wp:lineTo x="21457" y="21500"/>
                <wp:lineTo x="21457" y="0"/>
                <wp:lineTo x="0" y="0"/>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V relativeFrom="margin">
              <wp14:pctHeight>0</wp14:pctHeight>
            </wp14:sizeRelV>
          </wp:anchor>
        </w:drawing>
      </w:r>
      <w:r w:rsidRPr="00E4055E">
        <w:rPr>
          <w:rFonts w:ascii="BPG Arial" w:hAnsi="BPG Arial"/>
        </w:rPr>
        <w:t>დიაგრამა 1.3 მთავრობის საგარეო ვალის კომპოზიცია ვალუტების მიხედვით 2018 წლის ბოლოს მდგომარეობით</w:t>
      </w:r>
    </w:p>
    <w:p w:rsidR="00E4055E" w:rsidRPr="00E4055E" w:rsidRDefault="00E4055E" w:rsidP="00E4055E">
      <w:pPr>
        <w:spacing w:before="120"/>
        <w:jc w:val="both"/>
        <w:rPr>
          <w:rFonts w:ascii="BPG Arial" w:hAnsi="BPG Arial" w:cs="BPG Arial"/>
          <w:i/>
          <w:sz w:val="16"/>
          <w:szCs w:val="20"/>
          <w:lang w:val="ka-GE"/>
        </w:rPr>
      </w:pPr>
      <w:r w:rsidRPr="00E4055E">
        <w:rPr>
          <w:rFonts w:ascii="BPG Arial" w:hAnsi="BPG Arial" w:cs="BPG Arial"/>
          <w:i/>
          <w:sz w:val="16"/>
          <w:szCs w:val="20"/>
          <w:lang w:val="ka-GE"/>
        </w:rPr>
        <w:t>წყარო: საქართველოს ფინანსთა სამინისტრო</w:t>
      </w:r>
    </w:p>
    <w:p w:rsidR="00E4055E" w:rsidRPr="00E4055E" w:rsidRDefault="00E4055E" w:rsidP="00E4055E">
      <w:pPr>
        <w:pStyle w:val="Heading2"/>
        <w:rPr>
          <w:rFonts w:ascii="BPG Arial" w:hAnsi="BPG Arial"/>
        </w:rPr>
      </w:pPr>
      <w:r w:rsidRPr="00E4055E">
        <w:rPr>
          <w:rFonts w:ascii="BPG Arial" w:hAnsi="BPG Arial"/>
          <w:noProof/>
          <w:lang w:val="en-US"/>
        </w:rPr>
        <w:drawing>
          <wp:anchor distT="0" distB="0" distL="114300" distR="114300" simplePos="0" relativeHeight="251667456" behindDoc="1" locked="0" layoutInCell="1" allowOverlap="1" wp14:anchorId="5F2F7B8B" wp14:editId="3BA376E3">
            <wp:simplePos x="0" y="0"/>
            <wp:positionH relativeFrom="column">
              <wp:posOffset>138430</wp:posOffset>
            </wp:positionH>
            <wp:positionV relativeFrom="paragraph">
              <wp:posOffset>322580</wp:posOffset>
            </wp:positionV>
            <wp:extent cx="2876806" cy="1645920"/>
            <wp:effectExtent l="0" t="0" r="0" b="11430"/>
            <wp:wrapTight wrapText="bothSides">
              <wp:wrapPolygon edited="0">
                <wp:start x="0" y="0"/>
                <wp:lineTo x="0" y="21500"/>
                <wp:lineTo x="21457" y="21500"/>
                <wp:lineTo x="21457"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E4055E">
        <w:rPr>
          <w:rFonts w:ascii="BPG Arial" w:hAnsi="BPG Arial"/>
        </w:rPr>
        <w:t>დიაგრამა 1.4 მთავრობის საგარეო ვალი SDR-ის დეკომპოზიციით 2018 წლის ბოლოს მდგომარეობით</w:t>
      </w:r>
    </w:p>
    <w:p w:rsidR="00E4055E" w:rsidRPr="00E4055E" w:rsidRDefault="00E4055E" w:rsidP="00E4055E">
      <w:pPr>
        <w:spacing w:before="120"/>
        <w:jc w:val="both"/>
        <w:rPr>
          <w:rFonts w:ascii="BPG Arial" w:hAnsi="BPG Arial" w:cs="BPG Arial"/>
          <w:i/>
          <w:sz w:val="16"/>
          <w:szCs w:val="20"/>
          <w:lang w:val="ka-GE"/>
        </w:rPr>
      </w:pPr>
      <w:r w:rsidRPr="00E4055E">
        <w:rPr>
          <w:rFonts w:ascii="BPG Arial" w:hAnsi="BPG Arial" w:cs="BPG Arial"/>
          <w:i/>
          <w:sz w:val="16"/>
          <w:szCs w:val="20"/>
          <w:lang w:val="ka-GE"/>
        </w:rPr>
        <w:t>წყარო: საქართველოს ფინანსთა სამინისტრო</w:t>
      </w:r>
    </w:p>
    <w:p w:rsidR="00E4055E" w:rsidRPr="00E4055E" w:rsidRDefault="00E4055E" w:rsidP="00E4055E">
      <w:pPr>
        <w:pStyle w:val="Heading1"/>
        <w:rPr>
          <w:rFonts w:ascii="BPG Arial" w:hAnsi="BPG Arial"/>
        </w:rPr>
      </w:pPr>
      <w:r w:rsidRPr="00E4055E">
        <w:rPr>
          <w:rFonts w:ascii="BPG Arial" w:hAnsi="BPG Arial"/>
        </w:rPr>
        <w:t>2. მთავრობის საგარეო ვალის ცვლილების გამომწვევი მიზეზები</w:t>
      </w:r>
    </w:p>
    <w:p w:rsidR="00E4055E" w:rsidRPr="00E4055E" w:rsidRDefault="00E4055E" w:rsidP="00E4055E">
      <w:pPr>
        <w:jc w:val="both"/>
        <w:rPr>
          <w:rFonts w:ascii="BPG Arial" w:hAnsi="BPG Arial" w:cs="BPG Arial"/>
          <w:sz w:val="20"/>
          <w:szCs w:val="20"/>
          <w:lang w:val="ka-GE"/>
        </w:rPr>
      </w:pPr>
      <w:r w:rsidRPr="00E4055E">
        <w:rPr>
          <w:rFonts w:ascii="BPG Arial" w:hAnsi="BPG Arial" w:cs="BPG Arial"/>
          <w:sz w:val="20"/>
          <w:szCs w:val="20"/>
          <w:lang w:val="ka-GE"/>
        </w:rPr>
        <w:t>2018 წელს 2017 წელთან შედარებით ვალის მოცულობა გაიზარდა 175.3 მილიონი აშშ დოლარით. თუ 2018  წლის ვალის მოცულობას დოლარში გამოვსახავთ, 2017 წლის ბოლოს დაფიქსირებული გაცვლითი კურსით განსხვავება იქნება 277.1 მილიონი აშშ დოლარი. 2018 წელს დოლარის კურსის გამყარებამ  პორტფელში არსებული უცხოური ვალუტების (გარდა იაპონური იენისა) მიმართ განაპირობა მთავრობის საგარეო ვალის 101.8 მილიონი აშშ დოლარით შემცირება. შედეგად, დოლარში გამოსახული ვალის მოცულობის ზრდამ, გაცვლითი კურსის ეფექტის გათვალისწინებით, 2018 წელს შეადგინა 175.3 მილიონი აშშ დოლარი.</w:t>
      </w:r>
    </w:p>
    <w:p w:rsidR="00E4055E" w:rsidRPr="00E4055E" w:rsidRDefault="00E4055E" w:rsidP="00E4055E">
      <w:pPr>
        <w:pStyle w:val="Heading2"/>
        <w:rPr>
          <w:rFonts w:ascii="BPG Arial" w:hAnsi="BPG Arial"/>
        </w:rPr>
      </w:pPr>
      <w:r w:rsidRPr="00E4055E">
        <w:rPr>
          <w:rFonts w:ascii="BPG Arial" w:hAnsi="BPG Arial"/>
          <w:noProof/>
          <w:lang w:val="en-US"/>
        </w:rPr>
        <w:drawing>
          <wp:anchor distT="0" distB="0" distL="114300" distR="114300" simplePos="0" relativeHeight="251668480" behindDoc="1" locked="0" layoutInCell="1" allowOverlap="1" wp14:anchorId="0914B1D1" wp14:editId="79F6601C">
            <wp:simplePos x="0" y="0"/>
            <wp:positionH relativeFrom="column">
              <wp:posOffset>85725</wp:posOffset>
            </wp:positionH>
            <wp:positionV relativeFrom="paragraph">
              <wp:posOffset>332740</wp:posOffset>
            </wp:positionV>
            <wp:extent cx="3017520" cy="1645920"/>
            <wp:effectExtent l="0" t="0" r="11430" b="11430"/>
            <wp:wrapTight wrapText="bothSides">
              <wp:wrapPolygon edited="0">
                <wp:start x="0" y="0"/>
                <wp:lineTo x="0" y="21500"/>
                <wp:lineTo x="21545" y="21500"/>
                <wp:lineTo x="21545" y="0"/>
                <wp:lineTo x="0" y="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E4055E">
        <w:rPr>
          <w:rFonts w:ascii="BPG Arial" w:hAnsi="BPG Arial"/>
        </w:rPr>
        <w:t xml:space="preserve">დიაგრამა 2.1 ვალის მოცულობის ცვლილება აშშ დოლარში 2018 </w:t>
      </w:r>
    </w:p>
    <w:p w:rsidR="00E4055E" w:rsidRPr="00E4055E" w:rsidRDefault="00E4055E" w:rsidP="00E4055E">
      <w:pPr>
        <w:spacing w:before="120"/>
        <w:jc w:val="both"/>
        <w:rPr>
          <w:rFonts w:ascii="BPG Arial" w:hAnsi="BPG Arial" w:cs="BPG Arial"/>
          <w:i/>
          <w:sz w:val="16"/>
          <w:szCs w:val="20"/>
          <w:lang w:val="ka-GE"/>
        </w:rPr>
      </w:pPr>
      <w:r w:rsidRPr="00E4055E">
        <w:rPr>
          <w:rFonts w:ascii="BPG Arial" w:hAnsi="BPG Arial" w:cs="BPG Arial"/>
          <w:i/>
          <w:sz w:val="16"/>
          <w:szCs w:val="20"/>
          <w:lang w:val="ka-GE"/>
        </w:rPr>
        <w:t>წყარო: საქართველოს ფინანსთა სამინისტრო</w:t>
      </w:r>
    </w:p>
    <w:p w:rsidR="00E4055E" w:rsidRPr="00E4055E" w:rsidRDefault="00E4055E" w:rsidP="00E4055E">
      <w:pPr>
        <w:jc w:val="both"/>
        <w:rPr>
          <w:rFonts w:ascii="BPG Arial" w:hAnsi="BPG Arial" w:cs="BPG Arial"/>
          <w:sz w:val="20"/>
          <w:szCs w:val="20"/>
          <w:lang w:val="ka-GE"/>
        </w:rPr>
      </w:pPr>
      <w:r w:rsidRPr="00E4055E">
        <w:rPr>
          <w:rFonts w:ascii="BPG Arial" w:hAnsi="BPG Arial" w:cs="BPG Arial"/>
          <w:sz w:val="20"/>
          <w:szCs w:val="20"/>
          <w:lang w:val="ka-GE"/>
        </w:rPr>
        <w:t xml:space="preserve">2018 წელს ლარის გაუფასურებამ პორტფელში შემავალი ვალუტების მიმართ განაპირობა ლარში ვალის მოცულობის ზრდა. თუ 2018 წლის ვალის მოცულობას გამოვსახავთ 2017 წელს დაფიქსირებული გაცვლითი კურსებით, ვალის მოცულობა გაზრდილი იქნება 718.3 მილიონი </w:t>
      </w:r>
      <w:r w:rsidRPr="00E4055E">
        <w:rPr>
          <w:rFonts w:ascii="BPG Arial" w:hAnsi="BPG Arial" w:cs="BPG Arial"/>
          <w:sz w:val="20"/>
          <w:szCs w:val="20"/>
          <w:lang w:val="ka-GE"/>
        </w:rPr>
        <w:lastRenderedPageBreak/>
        <w:t>ლარით, რაც გამოწვეულია   სესხების წმინდა ზრდით. ვალის მოცულობა გამოსახული 2018 წლის გაცვლითი კურსით შეადგენს 898.8 მილიონ ლარს. შედეგად, 2018 წელს ლარის გაუფასურების ეფექტით გამოწვეულმა ვალის მოცულობის ზრდამ შეადგინა 180.5 მილიონი ლარი.</w:t>
      </w:r>
    </w:p>
    <w:p w:rsidR="00E4055E" w:rsidRPr="00E4055E" w:rsidRDefault="00E4055E" w:rsidP="00E4055E">
      <w:pPr>
        <w:pStyle w:val="Heading2"/>
        <w:rPr>
          <w:rFonts w:ascii="BPG Arial" w:hAnsi="BPG Arial"/>
        </w:rPr>
      </w:pPr>
      <w:r w:rsidRPr="00E4055E">
        <w:rPr>
          <w:rFonts w:ascii="BPG Arial" w:hAnsi="BPG Arial"/>
          <w:noProof/>
          <w:lang w:val="en-US"/>
        </w:rPr>
        <w:drawing>
          <wp:anchor distT="0" distB="0" distL="114300" distR="114300" simplePos="0" relativeHeight="251669504" behindDoc="1" locked="0" layoutInCell="1" allowOverlap="1" wp14:anchorId="7BD2136B" wp14:editId="453FFCD0">
            <wp:simplePos x="0" y="0"/>
            <wp:positionH relativeFrom="column">
              <wp:posOffset>85090</wp:posOffset>
            </wp:positionH>
            <wp:positionV relativeFrom="paragraph">
              <wp:posOffset>332740</wp:posOffset>
            </wp:positionV>
            <wp:extent cx="3017520" cy="1645920"/>
            <wp:effectExtent l="0" t="0" r="11430" b="11430"/>
            <wp:wrapTight wrapText="bothSides">
              <wp:wrapPolygon edited="0">
                <wp:start x="0" y="0"/>
                <wp:lineTo x="0" y="21500"/>
                <wp:lineTo x="21545" y="21500"/>
                <wp:lineTo x="21545" y="0"/>
                <wp:lineTo x="0" y="0"/>
              </wp:wrapPolygon>
            </wp:wrapTight>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r w:rsidRPr="00E4055E">
        <w:rPr>
          <w:rFonts w:ascii="BPG Arial" w:hAnsi="BPG Arial"/>
        </w:rPr>
        <w:t xml:space="preserve">დიაგრამა 2.2 ვალის მოცულობის ცვლილება ლარში 2018 </w:t>
      </w:r>
    </w:p>
    <w:p w:rsidR="00E4055E" w:rsidRPr="00E4055E" w:rsidRDefault="00E4055E" w:rsidP="00E4055E">
      <w:pPr>
        <w:spacing w:before="120"/>
        <w:jc w:val="both"/>
        <w:rPr>
          <w:rFonts w:ascii="BPG Arial" w:hAnsi="BPG Arial" w:cs="BPG Arial"/>
          <w:i/>
          <w:sz w:val="16"/>
          <w:szCs w:val="20"/>
          <w:lang w:val="ka-GE"/>
        </w:rPr>
      </w:pPr>
      <w:r w:rsidRPr="00E4055E">
        <w:rPr>
          <w:rFonts w:ascii="BPG Arial" w:hAnsi="BPG Arial" w:cs="BPG Arial"/>
          <w:i/>
          <w:sz w:val="16"/>
          <w:szCs w:val="20"/>
          <w:lang w:val="ka-GE"/>
        </w:rPr>
        <w:t>წყარო: საქართველოს ფინანსთა სამინისტრო</w:t>
      </w:r>
    </w:p>
    <w:p w:rsidR="00E4055E" w:rsidRPr="00E4055E" w:rsidRDefault="00E4055E" w:rsidP="00E4055E">
      <w:pPr>
        <w:pStyle w:val="Heading1"/>
        <w:rPr>
          <w:rFonts w:ascii="BPG Arial" w:hAnsi="BPG Arial"/>
        </w:rPr>
      </w:pPr>
      <w:r w:rsidRPr="00E4055E">
        <w:rPr>
          <w:rFonts w:ascii="BPG Arial" w:hAnsi="BPG Arial"/>
        </w:rPr>
        <w:t xml:space="preserve">3. მთავრობის საშინაო ვალი </w:t>
      </w:r>
    </w:p>
    <w:p w:rsidR="00E4055E" w:rsidRPr="00E4055E" w:rsidRDefault="00E4055E" w:rsidP="00E4055E">
      <w:pPr>
        <w:jc w:val="both"/>
        <w:rPr>
          <w:rFonts w:ascii="BPG Arial" w:hAnsi="BPG Arial" w:cs="BPG Arial"/>
          <w:sz w:val="20"/>
          <w:szCs w:val="20"/>
          <w:lang w:val="ka-GE"/>
        </w:rPr>
      </w:pPr>
      <w:r w:rsidRPr="00E4055E">
        <w:rPr>
          <w:rFonts w:ascii="BPG Arial" w:hAnsi="BPG Arial" w:cs="BPG Arial"/>
          <w:sz w:val="20"/>
          <w:szCs w:val="20"/>
          <w:lang w:val="ka-GE"/>
        </w:rPr>
        <w:t xml:space="preserve">მთავრობის საშინაო ვალის მოცულობა 2018 წელს წინა წელთან შედარებით </w:t>
      </w:r>
      <w:r w:rsidRPr="001D7CD2">
        <w:rPr>
          <w:rFonts w:ascii="BPG Arial" w:hAnsi="BPG Arial" w:cs="BPG Arial"/>
          <w:sz w:val="20"/>
          <w:szCs w:val="20"/>
          <w:lang w:val="ka-GE"/>
        </w:rPr>
        <w:t>გაიზარდა და შეადგინა 3,25</w:t>
      </w:r>
      <w:r w:rsidR="00BA2607" w:rsidRPr="001D7CD2">
        <w:rPr>
          <w:rFonts w:ascii="BPG Arial" w:hAnsi="BPG Arial" w:cs="BPG Arial"/>
          <w:sz w:val="20"/>
          <w:szCs w:val="20"/>
          <w:lang w:val="ka-GE"/>
        </w:rPr>
        <w:t>3</w:t>
      </w:r>
      <w:r w:rsidRPr="001D7CD2">
        <w:rPr>
          <w:rFonts w:ascii="BPG Arial" w:hAnsi="BPG Arial" w:cs="BPG Arial"/>
          <w:sz w:val="20"/>
          <w:szCs w:val="20"/>
          <w:lang w:val="ka-GE"/>
        </w:rPr>
        <w:t xml:space="preserve"> მილიონი ლარი.  მთავრობის საშინაო</w:t>
      </w:r>
      <w:r w:rsidRPr="001D7CD2">
        <w:rPr>
          <w:rFonts w:ascii="BPG Arial" w:hAnsi="BPG Arial" w:cs="BPG Arial"/>
          <w:color w:val="FF0000"/>
          <w:sz w:val="20"/>
          <w:szCs w:val="20"/>
          <w:lang w:val="ka-GE"/>
        </w:rPr>
        <w:t xml:space="preserve"> </w:t>
      </w:r>
      <w:r w:rsidRPr="001D7CD2">
        <w:rPr>
          <w:rFonts w:ascii="BPG Arial" w:hAnsi="BPG Arial" w:cs="BPG Arial"/>
          <w:sz w:val="20"/>
          <w:szCs w:val="20"/>
          <w:lang w:val="ka-GE"/>
        </w:rPr>
        <w:t>ვალი შედგება სახაზინო ფასიანი ქაღალდების და სახელმწიფო ობლიგაციებისგან</w:t>
      </w:r>
      <w:r w:rsidR="00BA2607" w:rsidRPr="001D7CD2">
        <w:rPr>
          <w:rFonts w:ascii="BPG Arial" w:hAnsi="BPG Arial" w:cs="BPG Arial"/>
          <w:sz w:val="20"/>
          <w:szCs w:val="20"/>
          <w:lang w:val="ka-GE"/>
        </w:rPr>
        <w:t xml:space="preserve"> და ასევე, საბიუჯეტო ორგანიზაციების მიერ აღებული სესხიბისგან (საანგარიშო პერიოდის ბოლოსთვის სესხის სახით არსებული ნაშთი შეადგინა 2.5 მლნ ლარი).</w:t>
      </w:r>
      <w:r w:rsidRPr="001D7CD2">
        <w:rPr>
          <w:rFonts w:ascii="BPG Arial" w:hAnsi="BPG Arial" w:cs="BPG Arial"/>
          <w:sz w:val="20"/>
          <w:szCs w:val="20"/>
          <w:lang w:val="ka-GE"/>
        </w:rPr>
        <w:t xml:space="preserve"> </w:t>
      </w:r>
      <w:r w:rsidR="00BA2607" w:rsidRPr="001D7CD2">
        <w:rPr>
          <w:rFonts w:ascii="BPG Arial" w:hAnsi="BPG Arial" w:cs="BPG Arial"/>
          <w:sz w:val="20"/>
          <w:szCs w:val="20"/>
          <w:lang w:val="ka-GE"/>
        </w:rPr>
        <w:t xml:space="preserve">სახელმწიფო ობლიგაციები </w:t>
      </w:r>
      <w:r w:rsidRPr="001D7CD2">
        <w:rPr>
          <w:rFonts w:ascii="BPG Arial" w:hAnsi="BPG Arial" w:cs="BPG Arial"/>
          <w:sz w:val="20"/>
          <w:szCs w:val="20"/>
          <w:lang w:val="ka-GE"/>
        </w:rPr>
        <w:t xml:space="preserve">მოიცავს ეროვნული ბანკის მიმართ ვალს, ხოლო სახაზინო ფასიანი ქაღალდები </w:t>
      </w:r>
      <w:r w:rsidR="00BA2607" w:rsidRPr="001D7CD2">
        <w:rPr>
          <w:rFonts w:ascii="BPG Arial" w:hAnsi="BPG Arial" w:cs="BPG Arial"/>
          <w:sz w:val="20"/>
          <w:szCs w:val="20"/>
          <w:lang w:val="ka-GE"/>
        </w:rPr>
        <w:t>-</w:t>
      </w:r>
      <w:r w:rsidRPr="001D7CD2">
        <w:rPr>
          <w:rFonts w:ascii="BPG Arial" w:hAnsi="BPG Arial" w:cs="BPG Arial"/>
          <w:sz w:val="20"/>
          <w:szCs w:val="20"/>
          <w:lang w:val="ka-GE"/>
        </w:rPr>
        <w:t xml:space="preserve"> 6 თვიან, 12 თვიან, 2 წლიან, 5 წლიან და 10 წლიანი ვადიანობის მქონე ფასიან ქაღალდებს. 2018 წელს, ისევე როგორც წინა წელს, სახაზინო ფასიან ქაღალდებში</w:t>
      </w:r>
      <w:r w:rsidRPr="00E4055E">
        <w:rPr>
          <w:rFonts w:ascii="BPG Arial" w:hAnsi="BPG Arial" w:cs="BPG Arial"/>
          <w:sz w:val="20"/>
          <w:szCs w:val="20"/>
          <w:lang w:val="ka-GE"/>
        </w:rPr>
        <w:t xml:space="preserve"> ყველაზე დიდი წილი უჭირავს 5 წლიანი ვადიანობის ფასიან ქაღალდებს, რომელსაც მოჰყვება 2 წლიანი და 12 თვიანი ვადიანობის მქონე ფასიანი ქაღალდები.</w:t>
      </w:r>
    </w:p>
    <w:p w:rsidR="00E4055E" w:rsidRPr="00E4055E" w:rsidRDefault="00E4055E" w:rsidP="00E4055E">
      <w:pPr>
        <w:pStyle w:val="Heading2"/>
        <w:rPr>
          <w:rFonts w:ascii="BPG Arial" w:hAnsi="BPG Arial"/>
        </w:rPr>
      </w:pPr>
      <w:r w:rsidRPr="00E4055E">
        <w:rPr>
          <w:rFonts w:ascii="BPG Arial" w:hAnsi="BPG Arial"/>
        </w:rPr>
        <w:t xml:space="preserve">ცხრილი 3.1 </w:t>
      </w:r>
      <w:r w:rsidR="001D7CD2" w:rsidRPr="00E4055E">
        <w:rPr>
          <w:rFonts w:ascii="BPG Arial" w:hAnsi="BPG Arial"/>
        </w:rPr>
        <w:t>სახაზინო ფასიანი ქაღალდები და სახელმწიფო ობლიგაციები</w:t>
      </w:r>
      <w:r w:rsidR="001D7CD2" w:rsidRPr="00E4055E">
        <w:rPr>
          <w:rFonts w:ascii="BPG Arial" w:hAnsi="BPG Arial"/>
        </w:rPr>
        <w:t xml:space="preserve"> </w:t>
      </w:r>
      <w:r w:rsidRPr="00E4055E">
        <w:rPr>
          <w:rFonts w:ascii="BPG Arial" w:hAnsi="BPG Arial"/>
        </w:rPr>
        <w:t>(მლნ ლარი)</w:t>
      </w:r>
    </w:p>
    <w:tbl>
      <w:tblPr>
        <w:tblStyle w:val="ListTable1Light-Accent3"/>
        <w:tblW w:w="4982" w:type="dxa"/>
        <w:tblLook w:val="04A0" w:firstRow="1" w:lastRow="0" w:firstColumn="1" w:lastColumn="0" w:noHBand="0" w:noVBand="1"/>
      </w:tblPr>
      <w:tblGrid>
        <w:gridCol w:w="2452"/>
        <w:gridCol w:w="1295"/>
        <w:gridCol w:w="1235"/>
      </w:tblGrid>
      <w:tr w:rsidR="00E4055E" w:rsidRPr="00E4055E" w:rsidTr="00522293">
        <w:trPr>
          <w:cnfStyle w:val="100000000000" w:firstRow="1" w:lastRow="0" w:firstColumn="0" w:lastColumn="0" w:oddVBand="0" w:evenVBand="0" w:oddHBand="0"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2452" w:type="dxa"/>
            <w:shd w:val="clear" w:color="auto" w:fill="82B2DE"/>
            <w:noWrap/>
            <w:hideMark/>
          </w:tcPr>
          <w:p w:rsidR="00E4055E" w:rsidRPr="00E4055E" w:rsidRDefault="00E4055E" w:rsidP="00522293">
            <w:pPr>
              <w:jc w:val="center"/>
              <w:rPr>
                <w:rFonts w:ascii="BPG Arial" w:hAnsi="BPG Arial" w:cs="BPG Arial"/>
                <w:sz w:val="20"/>
                <w:szCs w:val="20"/>
                <w:lang w:val="ka-GE"/>
              </w:rPr>
            </w:pPr>
          </w:p>
        </w:tc>
        <w:tc>
          <w:tcPr>
            <w:tcW w:w="1295" w:type="dxa"/>
            <w:shd w:val="clear" w:color="auto" w:fill="82B2DE"/>
            <w:noWrap/>
            <w:hideMark/>
          </w:tcPr>
          <w:p w:rsidR="00E4055E" w:rsidRPr="00E4055E" w:rsidRDefault="00E4055E" w:rsidP="00522293">
            <w:pPr>
              <w:jc w:val="center"/>
              <w:cnfStyle w:val="100000000000" w:firstRow="1"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2017</w:t>
            </w:r>
          </w:p>
        </w:tc>
        <w:tc>
          <w:tcPr>
            <w:tcW w:w="1235" w:type="dxa"/>
            <w:shd w:val="clear" w:color="auto" w:fill="82B2DE"/>
            <w:noWrap/>
            <w:hideMark/>
          </w:tcPr>
          <w:p w:rsidR="00E4055E" w:rsidRPr="00E4055E" w:rsidRDefault="00E4055E" w:rsidP="00522293">
            <w:pPr>
              <w:jc w:val="center"/>
              <w:cnfStyle w:val="100000000000" w:firstRow="1"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2018</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452" w:type="dxa"/>
            <w:noWrap/>
            <w:hideMark/>
          </w:tcPr>
          <w:p w:rsidR="00E4055E" w:rsidRPr="00E4055E" w:rsidRDefault="00E4055E" w:rsidP="00522293">
            <w:pPr>
              <w:rPr>
                <w:rFonts w:ascii="BPG Arial" w:hAnsi="BPG Arial" w:cs="BPG Arial"/>
                <w:b w:val="0"/>
                <w:sz w:val="20"/>
                <w:szCs w:val="20"/>
              </w:rPr>
            </w:pPr>
            <w:r w:rsidRPr="00E4055E">
              <w:rPr>
                <w:rFonts w:ascii="BPG Arial" w:hAnsi="BPG Arial" w:cs="BPG Arial"/>
                <w:b w:val="0"/>
                <w:sz w:val="20"/>
                <w:szCs w:val="20"/>
                <w:lang w:val="ka-GE"/>
              </w:rPr>
              <w:t>6 თვიანი</w:t>
            </w:r>
          </w:p>
        </w:tc>
        <w:tc>
          <w:tcPr>
            <w:tcW w:w="1295" w:type="dxa"/>
            <w:noWrap/>
            <w:hideMark/>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116</w:t>
            </w:r>
          </w:p>
        </w:tc>
        <w:tc>
          <w:tcPr>
            <w:tcW w:w="1235" w:type="dxa"/>
            <w:noWrap/>
            <w:hideMark/>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116</w:t>
            </w:r>
          </w:p>
        </w:tc>
      </w:tr>
      <w:tr w:rsidR="00E4055E" w:rsidRPr="00E4055E" w:rsidTr="00522293">
        <w:trPr>
          <w:trHeight w:val="151"/>
        </w:trPr>
        <w:tc>
          <w:tcPr>
            <w:cnfStyle w:val="001000000000" w:firstRow="0" w:lastRow="0" w:firstColumn="1" w:lastColumn="0" w:oddVBand="0" w:evenVBand="0" w:oddHBand="0" w:evenHBand="0" w:firstRowFirstColumn="0" w:firstRowLastColumn="0" w:lastRowFirstColumn="0" w:lastRowLastColumn="0"/>
            <w:tcW w:w="2452" w:type="dxa"/>
            <w:noWrap/>
            <w:hideMark/>
          </w:tcPr>
          <w:p w:rsidR="00E4055E" w:rsidRPr="00E4055E" w:rsidRDefault="00E4055E" w:rsidP="00522293">
            <w:pPr>
              <w:rPr>
                <w:rFonts w:ascii="BPG Arial" w:hAnsi="BPG Arial" w:cs="BPG Arial"/>
                <w:b w:val="0"/>
                <w:sz w:val="20"/>
                <w:szCs w:val="20"/>
              </w:rPr>
            </w:pPr>
            <w:r w:rsidRPr="00E4055E">
              <w:rPr>
                <w:rFonts w:ascii="BPG Arial" w:hAnsi="BPG Arial" w:cs="BPG Arial"/>
                <w:b w:val="0"/>
                <w:sz w:val="20"/>
                <w:szCs w:val="20"/>
                <w:lang w:val="ka-GE"/>
              </w:rPr>
              <w:t>12 თვიანი</w:t>
            </w:r>
          </w:p>
        </w:tc>
        <w:tc>
          <w:tcPr>
            <w:tcW w:w="1295" w:type="dxa"/>
            <w:noWrap/>
            <w:hideMark/>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545</w:t>
            </w:r>
          </w:p>
        </w:tc>
        <w:tc>
          <w:tcPr>
            <w:tcW w:w="1235" w:type="dxa"/>
            <w:noWrap/>
            <w:hideMark/>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448</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2452" w:type="dxa"/>
            <w:noWrap/>
            <w:hideMark/>
          </w:tcPr>
          <w:p w:rsidR="00E4055E" w:rsidRPr="00E4055E" w:rsidRDefault="00E4055E" w:rsidP="00522293">
            <w:pPr>
              <w:rPr>
                <w:rFonts w:ascii="BPG Arial" w:hAnsi="BPG Arial" w:cs="BPG Arial"/>
                <w:b w:val="0"/>
                <w:sz w:val="20"/>
                <w:szCs w:val="20"/>
              </w:rPr>
            </w:pPr>
            <w:r w:rsidRPr="00E4055E">
              <w:rPr>
                <w:rFonts w:ascii="BPG Arial" w:hAnsi="BPG Arial" w:cs="BPG Arial"/>
                <w:b w:val="0"/>
                <w:sz w:val="20"/>
                <w:szCs w:val="20"/>
                <w:lang w:val="ka-GE"/>
              </w:rPr>
              <w:t>2 წლიანი</w:t>
            </w:r>
          </w:p>
        </w:tc>
        <w:tc>
          <w:tcPr>
            <w:tcW w:w="1295" w:type="dxa"/>
            <w:noWrap/>
            <w:hideMark/>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703</w:t>
            </w:r>
          </w:p>
        </w:tc>
        <w:tc>
          <w:tcPr>
            <w:tcW w:w="1235" w:type="dxa"/>
            <w:noWrap/>
            <w:hideMark/>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834</w:t>
            </w:r>
          </w:p>
        </w:tc>
      </w:tr>
      <w:tr w:rsidR="00E4055E" w:rsidRPr="00E4055E" w:rsidTr="00522293">
        <w:trPr>
          <w:trHeight w:val="122"/>
        </w:trPr>
        <w:tc>
          <w:tcPr>
            <w:cnfStyle w:val="001000000000" w:firstRow="0" w:lastRow="0" w:firstColumn="1" w:lastColumn="0" w:oddVBand="0" w:evenVBand="0" w:oddHBand="0" w:evenHBand="0" w:firstRowFirstColumn="0" w:firstRowLastColumn="0" w:lastRowFirstColumn="0" w:lastRowLastColumn="0"/>
            <w:tcW w:w="2452" w:type="dxa"/>
            <w:noWrap/>
            <w:hideMark/>
          </w:tcPr>
          <w:p w:rsidR="00E4055E" w:rsidRPr="00E4055E" w:rsidRDefault="00E4055E" w:rsidP="00522293">
            <w:pPr>
              <w:rPr>
                <w:rFonts w:ascii="BPG Arial" w:hAnsi="BPG Arial" w:cs="BPG Arial"/>
                <w:b w:val="0"/>
                <w:sz w:val="20"/>
                <w:szCs w:val="20"/>
              </w:rPr>
            </w:pPr>
            <w:r w:rsidRPr="00E4055E">
              <w:rPr>
                <w:rFonts w:ascii="BPG Arial" w:hAnsi="BPG Arial" w:cs="BPG Arial"/>
                <w:b w:val="0"/>
                <w:sz w:val="20"/>
                <w:szCs w:val="20"/>
                <w:lang w:val="ka-GE"/>
              </w:rPr>
              <w:t>5 წლიანი</w:t>
            </w:r>
          </w:p>
        </w:tc>
        <w:tc>
          <w:tcPr>
            <w:tcW w:w="1295" w:type="dxa"/>
            <w:noWrap/>
            <w:hideMark/>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783</w:t>
            </w:r>
          </w:p>
        </w:tc>
        <w:tc>
          <w:tcPr>
            <w:tcW w:w="1235" w:type="dxa"/>
            <w:noWrap/>
            <w:hideMark/>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1,068</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2452" w:type="dxa"/>
            <w:noWrap/>
            <w:hideMark/>
          </w:tcPr>
          <w:p w:rsidR="00E4055E" w:rsidRPr="00E4055E" w:rsidRDefault="00E4055E" w:rsidP="00522293">
            <w:pPr>
              <w:rPr>
                <w:rFonts w:ascii="BPG Arial" w:hAnsi="BPG Arial" w:cs="BPG Arial"/>
                <w:b w:val="0"/>
                <w:sz w:val="20"/>
                <w:szCs w:val="20"/>
              </w:rPr>
            </w:pPr>
            <w:r w:rsidRPr="00E4055E">
              <w:rPr>
                <w:rFonts w:ascii="BPG Arial" w:hAnsi="BPG Arial" w:cs="BPG Arial"/>
                <w:b w:val="0"/>
                <w:sz w:val="20"/>
                <w:szCs w:val="20"/>
                <w:lang w:val="ka-GE"/>
              </w:rPr>
              <w:t>10 წლიანი</w:t>
            </w:r>
          </w:p>
        </w:tc>
        <w:tc>
          <w:tcPr>
            <w:tcW w:w="1295" w:type="dxa"/>
            <w:noWrap/>
            <w:hideMark/>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249</w:t>
            </w:r>
          </w:p>
        </w:tc>
        <w:tc>
          <w:tcPr>
            <w:tcW w:w="1235" w:type="dxa"/>
            <w:noWrap/>
            <w:hideMark/>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352</w:t>
            </w:r>
          </w:p>
        </w:tc>
      </w:tr>
      <w:tr w:rsidR="00E4055E" w:rsidRPr="00E4055E" w:rsidTr="00522293">
        <w:trPr>
          <w:trHeight w:val="122"/>
        </w:trPr>
        <w:tc>
          <w:tcPr>
            <w:cnfStyle w:val="001000000000" w:firstRow="0" w:lastRow="0" w:firstColumn="1" w:lastColumn="0" w:oddVBand="0" w:evenVBand="0" w:oddHBand="0" w:evenHBand="0" w:firstRowFirstColumn="0" w:firstRowLastColumn="0" w:lastRowFirstColumn="0" w:lastRowLastColumn="0"/>
            <w:tcW w:w="2452" w:type="dxa"/>
            <w:noWrap/>
            <w:hideMark/>
          </w:tcPr>
          <w:p w:rsidR="00E4055E" w:rsidRPr="00E4055E" w:rsidRDefault="00E4055E" w:rsidP="00522293">
            <w:pPr>
              <w:rPr>
                <w:rFonts w:ascii="BPG Arial" w:hAnsi="BPG Arial" w:cs="BPG Arial"/>
                <w:b w:val="0"/>
                <w:sz w:val="20"/>
                <w:szCs w:val="20"/>
              </w:rPr>
            </w:pPr>
            <w:r w:rsidRPr="00E4055E">
              <w:rPr>
                <w:rFonts w:ascii="BPG Arial" w:hAnsi="BPG Arial" w:cs="BPG Arial"/>
                <w:b w:val="0"/>
                <w:sz w:val="20"/>
                <w:szCs w:val="20"/>
                <w:lang w:val="ka-GE"/>
              </w:rPr>
              <w:t xml:space="preserve">სახელმწიფო </w:t>
            </w:r>
            <w:r w:rsidRPr="00E4055E">
              <w:rPr>
                <w:rFonts w:ascii="BPG Arial" w:hAnsi="BPG Arial" w:cs="BPG Arial"/>
                <w:b w:val="0"/>
                <w:sz w:val="20"/>
                <w:szCs w:val="20"/>
              </w:rPr>
              <w:t xml:space="preserve"> </w:t>
            </w:r>
            <w:r w:rsidRPr="00E4055E">
              <w:rPr>
                <w:rFonts w:ascii="BPG Arial" w:hAnsi="BPG Arial" w:cs="BPG Arial"/>
                <w:b w:val="0"/>
                <w:sz w:val="20"/>
                <w:szCs w:val="20"/>
                <w:lang w:val="ka-GE"/>
              </w:rPr>
              <w:t>ობლიგაციები</w:t>
            </w:r>
            <w:r w:rsidRPr="00E4055E">
              <w:rPr>
                <w:rFonts w:ascii="BPG Arial" w:hAnsi="BPG Arial" w:cs="BPG Arial"/>
                <w:b w:val="0"/>
                <w:sz w:val="20"/>
                <w:szCs w:val="20"/>
              </w:rPr>
              <w:t xml:space="preserve"> </w:t>
            </w:r>
          </w:p>
        </w:tc>
        <w:tc>
          <w:tcPr>
            <w:tcW w:w="1295" w:type="dxa"/>
            <w:noWrap/>
            <w:hideMark/>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468</w:t>
            </w:r>
          </w:p>
        </w:tc>
        <w:tc>
          <w:tcPr>
            <w:tcW w:w="1235" w:type="dxa"/>
            <w:noWrap/>
            <w:hideMark/>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433</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2452" w:type="dxa"/>
            <w:noWrap/>
            <w:hideMark/>
          </w:tcPr>
          <w:p w:rsidR="00E4055E" w:rsidRPr="00E4055E" w:rsidRDefault="00E4055E" w:rsidP="00873556">
            <w:pPr>
              <w:rPr>
                <w:rFonts w:ascii="BPG Arial" w:hAnsi="BPG Arial" w:cs="BPG Arial"/>
                <w:b w:val="0"/>
                <w:sz w:val="20"/>
                <w:szCs w:val="20"/>
              </w:rPr>
            </w:pPr>
            <w:r w:rsidRPr="00E4055E">
              <w:rPr>
                <w:rFonts w:ascii="BPG Arial" w:hAnsi="BPG Arial" w:cs="BPG Arial"/>
                <w:b w:val="0"/>
                <w:sz w:val="20"/>
                <w:szCs w:val="20"/>
                <w:lang w:val="ka-GE"/>
              </w:rPr>
              <w:t xml:space="preserve">სულ </w:t>
            </w:r>
          </w:p>
        </w:tc>
        <w:tc>
          <w:tcPr>
            <w:tcW w:w="1295" w:type="dxa"/>
            <w:noWrap/>
            <w:hideMark/>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2,863</w:t>
            </w:r>
          </w:p>
        </w:tc>
        <w:tc>
          <w:tcPr>
            <w:tcW w:w="1235" w:type="dxa"/>
            <w:noWrap/>
            <w:hideMark/>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3,250</w:t>
            </w:r>
          </w:p>
        </w:tc>
      </w:tr>
    </w:tbl>
    <w:p w:rsidR="00E4055E" w:rsidRPr="00E4055E" w:rsidRDefault="00E4055E" w:rsidP="00E4055E">
      <w:pPr>
        <w:spacing w:before="120"/>
        <w:jc w:val="both"/>
        <w:rPr>
          <w:rFonts w:ascii="BPG Arial" w:hAnsi="BPG Arial" w:cs="BPG Arial"/>
          <w:i/>
          <w:sz w:val="16"/>
          <w:szCs w:val="20"/>
          <w:lang w:val="ka-GE"/>
        </w:rPr>
      </w:pPr>
      <w:r w:rsidRPr="00E4055E">
        <w:rPr>
          <w:rFonts w:ascii="BPG Arial" w:hAnsi="BPG Arial" w:cs="BPG Arial"/>
          <w:i/>
          <w:sz w:val="16"/>
          <w:szCs w:val="20"/>
          <w:lang w:val="ka-GE"/>
        </w:rPr>
        <w:t>წყარო: საქართველოს ფინანსთა სამინისტრო</w:t>
      </w:r>
    </w:p>
    <w:p w:rsidR="00E4055E" w:rsidRPr="00E4055E" w:rsidRDefault="00E4055E" w:rsidP="00E4055E">
      <w:pPr>
        <w:spacing w:after="0"/>
        <w:jc w:val="both"/>
        <w:rPr>
          <w:rFonts w:ascii="BPG Arial" w:hAnsi="BPG Arial" w:cs="BPG Arial"/>
          <w:i/>
          <w:sz w:val="16"/>
          <w:szCs w:val="20"/>
          <w:lang w:val="ka-GE"/>
        </w:rPr>
      </w:pPr>
    </w:p>
    <w:p w:rsidR="00E4055E" w:rsidRPr="00E4055E" w:rsidRDefault="00E4055E" w:rsidP="00E4055E">
      <w:pPr>
        <w:jc w:val="both"/>
        <w:rPr>
          <w:rFonts w:ascii="BPG Arial" w:hAnsi="BPG Arial" w:cs="BPG Arial"/>
          <w:sz w:val="20"/>
          <w:szCs w:val="20"/>
          <w:lang w:val="ka-GE"/>
        </w:rPr>
      </w:pPr>
      <w:r w:rsidRPr="00E4055E">
        <w:rPr>
          <w:rFonts w:ascii="BPG Arial" w:hAnsi="BPG Arial" w:cs="BPG Arial"/>
          <w:sz w:val="20"/>
          <w:szCs w:val="20"/>
          <w:lang w:val="ka-GE"/>
        </w:rPr>
        <w:t>2018 წელს გამოშვებული სახაზინო ფასიანი ქაღალდების მოცულობამ შეადგინა 1,639 მილიონი ლარი, ხოლო დაფარვის მოცულობამ 1,216 მილიონი ლარი. შედეგად, სახაზინო ფასიანი ქაღალდების წმინდა ზრდამ 2018 წელს შეადგინა 422 მილიონი ლარი, რაც წინა წლის შესაბამის მაჩვენებელს აღემატება 5.7%-ით.</w:t>
      </w:r>
      <w:r w:rsidRPr="00E4055E">
        <w:rPr>
          <w:rFonts w:ascii="BPG Arial" w:hAnsi="BPG Arial" w:cs="BPG Arial"/>
          <w:sz w:val="20"/>
          <w:szCs w:val="20"/>
        </w:rPr>
        <w:t xml:space="preserve"> </w:t>
      </w:r>
      <w:r w:rsidRPr="00E4055E">
        <w:rPr>
          <w:rFonts w:ascii="BPG Arial" w:hAnsi="BPG Arial" w:cs="BPG Arial"/>
          <w:sz w:val="20"/>
          <w:szCs w:val="20"/>
          <w:lang w:val="ka-GE"/>
        </w:rPr>
        <w:t>ასევე, 2018 წელს მოხდა 35 მილიონი ლარის მოცულობის სახელმწიფო ობლიგაციების დაფარვა.</w:t>
      </w:r>
    </w:p>
    <w:p w:rsidR="00E4055E" w:rsidRPr="00E4055E" w:rsidRDefault="00E4055E" w:rsidP="00E4055E">
      <w:pPr>
        <w:pStyle w:val="Heading2"/>
        <w:rPr>
          <w:rFonts w:ascii="BPG Arial" w:hAnsi="BPG Arial"/>
          <w:color w:val="FF0000"/>
        </w:rPr>
      </w:pPr>
      <w:r w:rsidRPr="00E4055E">
        <w:rPr>
          <w:rFonts w:ascii="BPG Arial" w:hAnsi="BPG Arial"/>
        </w:rPr>
        <w:t>დიაგრამა 3.1 მთაავრობის ფასიანი ქაღალდების დაფარვა და გამოშვება 2018 წლის 31 დეკემბრის მდგომარეობით (მლნ ლარი)</w:t>
      </w:r>
    </w:p>
    <w:p w:rsidR="00E4055E" w:rsidRPr="00E4055E" w:rsidRDefault="00E4055E" w:rsidP="00E4055E">
      <w:pPr>
        <w:rPr>
          <w:rFonts w:ascii="BPG Arial" w:hAnsi="BPG Arial" w:cs="BPG Arial"/>
          <w:lang w:val="ka-GE"/>
        </w:rPr>
      </w:pPr>
      <w:r w:rsidRPr="00E4055E">
        <w:rPr>
          <w:rFonts w:ascii="BPG Arial" w:hAnsi="BPG Arial" w:cs="BPG Arial"/>
          <w:noProof/>
        </w:rPr>
        <w:drawing>
          <wp:inline distT="0" distB="0" distL="0" distR="0" wp14:anchorId="42D284AA" wp14:editId="21384414">
            <wp:extent cx="3305175" cy="2000250"/>
            <wp:effectExtent l="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4055E" w:rsidRPr="00E4055E" w:rsidRDefault="00E4055E" w:rsidP="00E4055E">
      <w:pPr>
        <w:spacing w:before="120"/>
        <w:jc w:val="both"/>
        <w:rPr>
          <w:rFonts w:ascii="BPG Arial" w:hAnsi="BPG Arial" w:cs="BPG Arial"/>
          <w:i/>
          <w:sz w:val="16"/>
          <w:szCs w:val="20"/>
          <w:lang w:val="ka-GE"/>
        </w:rPr>
      </w:pPr>
      <w:r w:rsidRPr="00E4055E">
        <w:rPr>
          <w:rFonts w:ascii="BPG Arial" w:hAnsi="BPG Arial" w:cs="BPG Arial"/>
          <w:i/>
          <w:sz w:val="16"/>
          <w:szCs w:val="20"/>
          <w:lang w:val="ka-GE"/>
        </w:rPr>
        <w:t>წყარო: საქართველოს ფინანსთა სამინისტრო</w:t>
      </w:r>
    </w:p>
    <w:p w:rsidR="00E4055E" w:rsidRPr="00E4055E" w:rsidRDefault="00E4055E" w:rsidP="00E4055E">
      <w:pPr>
        <w:pStyle w:val="Heading1"/>
        <w:rPr>
          <w:rFonts w:ascii="BPG Arial" w:hAnsi="BPG Arial"/>
        </w:rPr>
      </w:pPr>
      <w:r w:rsidRPr="00E4055E">
        <w:rPr>
          <w:rFonts w:ascii="BPG Arial" w:hAnsi="BPG Arial"/>
        </w:rPr>
        <w:t>4.  მთავრობის მთლიანი ვალი</w:t>
      </w:r>
    </w:p>
    <w:p w:rsidR="00E4055E" w:rsidRPr="00E4055E" w:rsidRDefault="00E4055E" w:rsidP="00E4055E">
      <w:pPr>
        <w:spacing w:after="0"/>
        <w:jc w:val="both"/>
        <w:rPr>
          <w:rFonts w:ascii="BPG Arial" w:hAnsi="BPG Arial" w:cs="BPG Arial"/>
          <w:sz w:val="20"/>
          <w:szCs w:val="20"/>
          <w:lang w:val="ka-GE"/>
        </w:rPr>
      </w:pPr>
      <w:r w:rsidRPr="00E4055E">
        <w:rPr>
          <w:rFonts w:ascii="BPG Arial" w:hAnsi="BPG Arial" w:cs="BPG Arial"/>
          <w:sz w:val="20"/>
          <w:szCs w:val="20"/>
          <w:lang w:val="ka-GE"/>
        </w:rPr>
        <w:t xml:space="preserve">2018 წლის ბოლოს მდგომარეობით, წინა წელთან შედარებით, </w:t>
      </w:r>
      <w:r w:rsidRPr="001D7CD2">
        <w:rPr>
          <w:rFonts w:ascii="BPG Arial" w:hAnsi="BPG Arial" w:cs="BPG Arial"/>
          <w:sz w:val="20"/>
          <w:szCs w:val="20"/>
          <w:lang w:val="ka-GE"/>
        </w:rPr>
        <w:t>მთავრობის მთლიანი ვალი გამოსახული ეროვნული ვალუტით გაიზარდა 8%-ით და შეადგინა 17,3</w:t>
      </w:r>
      <w:r w:rsidR="00DD52C0" w:rsidRPr="001D7CD2">
        <w:rPr>
          <w:rFonts w:ascii="BPG Arial" w:hAnsi="BPG Arial" w:cs="BPG Arial"/>
          <w:sz w:val="20"/>
          <w:szCs w:val="20"/>
          <w:lang w:val="ka-GE"/>
        </w:rPr>
        <w:t>51.2</w:t>
      </w:r>
      <w:r w:rsidRPr="001D7CD2">
        <w:rPr>
          <w:rFonts w:ascii="BPG Arial" w:hAnsi="BPG Arial" w:cs="BPG Arial"/>
          <w:sz w:val="20"/>
          <w:szCs w:val="20"/>
          <w:lang w:val="ka-GE"/>
        </w:rPr>
        <w:t xml:space="preserve"> მილიონი ლარი. თუმცა, მთავრობის მთლიანი ვალის ფარდობა მშპ-თან მცირედით შემცირდა 2018 წელს და შეადგინა 42.2%. აღნიშნული მაჩვნებელი 2017</w:t>
      </w:r>
      <w:r w:rsidRPr="00E4055E">
        <w:rPr>
          <w:rFonts w:ascii="BPG Arial" w:hAnsi="BPG Arial" w:cs="BPG Arial"/>
          <w:sz w:val="20"/>
          <w:szCs w:val="20"/>
          <w:lang w:val="ka-GE"/>
        </w:rPr>
        <w:t xml:space="preserve"> წლის მდგომარეობით შეადგენდა 42.4%-ს.</w:t>
      </w:r>
    </w:p>
    <w:p w:rsidR="00E4055E" w:rsidRPr="00E4055E" w:rsidRDefault="00E4055E" w:rsidP="00E4055E">
      <w:pPr>
        <w:spacing w:before="120" w:after="120"/>
        <w:jc w:val="both"/>
        <w:rPr>
          <w:rFonts w:ascii="BPG Arial" w:hAnsi="BPG Arial" w:cs="BPG Arial"/>
          <w:color w:val="002060"/>
          <w:sz w:val="20"/>
          <w:szCs w:val="20"/>
          <w:lang w:val="ka-GE"/>
        </w:rPr>
      </w:pPr>
      <w:r w:rsidRPr="00E4055E">
        <w:rPr>
          <w:rFonts w:ascii="BPG Arial" w:hAnsi="BPG Arial" w:cs="BPG Arial"/>
          <w:color w:val="002060"/>
          <w:sz w:val="20"/>
          <w:szCs w:val="20"/>
          <w:lang w:val="ka-GE"/>
        </w:rPr>
        <w:t>ცხრილი 4.1 მთავრობის ვალი (მლნ ლარი)</w:t>
      </w:r>
    </w:p>
    <w:tbl>
      <w:tblPr>
        <w:tblStyle w:val="ListTable1Light-Accent3"/>
        <w:tblW w:w="5014" w:type="dxa"/>
        <w:tblLook w:val="04A0" w:firstRow="1" w:lastRow="0" w:firstColumn="1" w:lastColumn="0" w:noHBand="0" w:noVBand="1"/>
      </w:tblPr>
      <w:tblGrid>
        <w:gridCol w:w="1698"/>
        <w:gridCol w:w="1397"/>
        <w:gridCol w:w="1919"/>
      </w:tblGrid>
      <w:tr w:rsidR="00E4055E" w:rsidRPr="00E4055E" w:rsidTr="00522293">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98" w:type="dxa"/>
            <w:shd w:val="clear" w:color="auto" w:fill="82B2DE"/>
            <w:noWrap/>
            <w:hideMark/>
          </w:tcPr>
          <w:p w:rsidR="00E4055E" w:rsidRPr="00E4055E" w:rsidRDefault="00E4055E" w:rsidP="00522293">
            <w:pPr>
              <w:jc w:val="center"/>
              <w:rPr>
                <w:rFonts w:ascii="BPG Arial" w:hAnsi="BPG Arial" w:cs="BPG Arial"/>
                <w:sz w:val="20"/>
                <w:szCs w:val="20"/>
              </w:rPr>
            </w:pPr>
          </w:p>
        </w:tc>
        <w:tc>
          <w:tcPr>
            <w:tcW w:w="1397" w:type="dxa"/>
            <w:shd w:val="clear" w:color="auto" w:fill="82B2DE"/>
            <w:noWrap/>
            <w:hideMark/>
          </w:tcPr>
          <w:p w:rsidR="00E4055E" w:rsidRPr="00E4055E" w:rsidRDefault="00E4055E" w:rsidP="00522293">
            <w:pPr>
              <w:jc w:val="center"/>
              <w:cnfStyle w:val="100000000000" w:firstRow="1" w:lastRow="0" w:firstColumn="0" w:lastColumn="0" w:oddVBand="0" w:evenVBand="0" w:oddHBand="0" w:evenHBand="0" w:firstRowFirstColumn="0" w:firstRowLastColumn="0" w:lastRowFirstColumn="0" w:lastRowLastColumn="0"/>
              <w:rPr>
                <w:rFonts w:ascii="BPG Arial" w:hAnsi="BPG Arial" w:cs="BPG Arial"/>
                <w:sz w:val="20"/>
                <w:szCs w:val="20"/>
              </w:rPr>
            </w:pPr>
            <w:r w:rsidRPr="00E4055E">
              <w:rPr>
                <w:rFonts w:ascii="BPG Arial" w:hAnsi="BPG Arial" w:cs="BPG Arial"/>
                <w:sz w:val="20"/>
                <w:szCs w:val="20"/>
              </w:rPr>
              <w:t>2017</w:t>
            </w:r>
          </w:p>
        </w:tc>
        <w:tc>
          <w:tcPr>
            <w:tcW w:w="1919" w:type="dxa"/>
            <w:shd w:val="clear" w:color="auto" w:fill="82B2DE"/>
            <w:noWrap/>
            <w:hideMark/>
          </w:tcPr>
          <w:p w:rsidR="00E4055E" w:rsidRPr="00E4055E" w:rsidRDefault="00E4055E" w:rsidP="00522293">
            <w:pPr>
              <w:jc w:val="center"/>
              <w:cnfStyle w:val="100000000000" w:firstRow="1" w:lastRow="0" w:firstColumn="0" w:lastColumn="0" w:oddVBand="0" w:evenVBand="0" w:oddHBand="0" w:evenHBand="0" w:firstRowFirstColumn="0" w:firstRowLastColumn="0" w:lastRowFirstColumn="0" w:lastRowLastColumn="0"/>
              <w:rPr>
                <w:rFonts w:ascii="BPG Arial" w:hAnsi="BPG Arial" w:cs="BPG Arial"/>
                <w:sz w:val="20"/>
                <w:szCs w:val="20"/>
              </w:rPr>
            </w:pPr>
            <w:r w:rsidRPr="00E4055E">
              <w:rPr>
                <w:rFonts w:ascii="BPG Arial" w:hAnsi="BPG Arial" w:cs="BPG Arial"/>
                <w:sz w:val="20"/>
                <w:szCs w:val="20"/>
              </w:rPr>
              <w:t>2018</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698" w:type="dxa"/>
            <w:hideMark/>
          </w:tcPr>
          <w:p w:rsidR="00E4055E" w:rsidRPr="00E4055E" w:rsidRDefault="00E4055E" w:rsidP="00522293">
            <w:pPr>
              <w:rPr>
                <w:rFonts w:ascii="BPG Arial" w:hAnsi="BPG Arial" w:cs="BPG Arial"/>
                <w:b w:val="0"/>
                <w:sz w:val="20"/>
                <w:szCs w:val="20"/>
              </w:rPr>
            </w:pPr>
            <w:r w:rsidRPr="00E4055E">
              <w:rPr>
                <w:rFonts w:ascii="BPG Arial" w:hAnsi="BPG Arial" w:cs="BPG Arial"/>
                <w:b w:val="0"/>
                <w:sz w:val="20"/>
                <w:szCs w:val="20"/>
                <w:lang w:val="ka-GE"/>
              </w:rPr>
              <w:t>მთავრობის საგარეო ვალი</w:t>
            </w:r>
          </w:p>
        </w:tc>
        <w:tc>
          <w:tcPr>
            <w:tcW w:w="1397" w:type="dxa"/>
            <w:noWrap/>
            <w:hideMark/>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hAnsi="BPG Arial" w:cs="BPG Arial"/>
                <w:bCs/>
                <w:sz w:val="20"/>
                <w:szCs w:val="20"/>
                <w:lang w:val="ka-GE"/>
              </w:rPr>
            </w:pPr>
            <w:r w:rsidRPr="00E4055E">
              <w:rPr>
                <w:rFonts w:ascii="BPG Arial" w:hAnsi="BPG Arial" w:cs="BPG Arial"/>
                <w:bCs/>
                <w:sz w:val="20"/>
                <w:szCs w:val="20"/>
                <w:lang w:val="ka-GE"/>
              </w:rPr>
              <w:t>13,199</w:t>
            </w:r>
          </w:p>
        </w:tc>
        <w:tc>
          <w:tcPr>
            <w:tcW w:w="1919" w:type="dxa"/>
            <w:noWrap/>
            <w:hideMark/>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hAnsi="BPG Arial" w:cs="BPG Arial"/>
                <w:bCs/>
                <w:sz w:val="20"/>
                <w:szCs w:val="20"/>
                <w:lang w:val="ka-GE"/>
              </w:rPr>
            </w:pPr>
            <w:r w:rsidRPr="00E4055E">
              <w:rPr>
                <w:rFonts w:ascii="BPG Arial" w:hAnsi="BPG Arial" w:cs="BPG Arial"/>
                <w:bCs/>
                <w:sz w:val="20"/>
                <w:szCs w:val="20"/>
                <w:lang w:val="ka-GE"/>
              </w:rPr>
              <w:t>14,098</w:t>
            </w:r>
          </w:p>
        </w:tc>
      </w:tr>
      <w:tr w:rsidR="00E4055E" w:rsidRPr="00E4055E" w:rsidTr="00522293">
        <w:trPr>
          <w:trHeight w:val="480"/>
        </w:trPr>
        <w:tc>
          <w:tcPr>
            <w:cnfStyle w:val="001000000000" w:firstRow="0" w:lastRow="0" w:firstColumn="1" w:lastColumn="0" w:oddVBand="0" w:evenVBand="0" w:oddHBand="0" w:evenHBand="0" w:firstRowFirstColumn="0" w:firstRowLastColumn="0" w:lastRowFirstColumn="0" w:lastRowLastColumn="0"/>
            <w:tcW w:w="1698" w:type="dxa"/>
            <w:hideMark/>
          </w:tcPr>
          <w:p w:rsidR="00E4055E" w:rsidRPr="00E4055E" w:rsidRDefault="00E4055E" w:rsidP="00522293">
            <w:pPr>
              <w:rPr>
                <w:rFonts w:ascii="BPG Arial" w:hAnsi="BPG Arial" w:cs="BPG Arial"/>
                <w:b w:val="0"/>
                <w:sz w:val="20"/>
                <w:szCs w:val="20"/>
              </w:rPr>
            </w:pPr>
            <w:r w:rsidRPr="00E4055E">
              <w:rPr>
                <w:rFonts w:ascii="BPG Arial" w:hAnsi="BPG Arial" w:cs="BPG Arial"/>
                <w:b w:val="0"/>
                <w:sz w:val="20"/>
                <w:szCs w:val="20"/>
                <w:lang w:val="ka-GE"/>
              </w:rPr>
              <w:t>მთავრობის საშინაო ვალი</w:t>
            </w:r>
          </w:p>
        </w:tc>
        <w:tc>
          <w:tcPr>
            <w:tcW w:w="1397" w:type="dxa"/>
            <w:noWrap/>
            <w:hideMark/>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2,863</w:t>
            </w:r>
          </w:p>
        </w:tc>
        <w:tc>
          <w:tcPr>
            <w:tcW w:w="1919" w:type="dxa"/>
            <w:noWrap/>
            <w:hideMark/>
          </w:tcPr>
          <w:p w:rsidR="00E4055E" w:rsidRPr="00E4055E" w:rsidRDefault="00E4055E" w:rsidP="00DD52C0">
            <w:pPr>
              <w:jc w:val="center"/>
              <w:cnfStyle w:val="000000000000" w:firstRow="0"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1D7CD2">
              <w:rPr>
                <w:rFonts w:ascii="BPG Arial" w:hAnsi="BPG Arial" w:cs="BPG Arial"/>
                <w:sz w:val="20"/>
                <w:szCs w:val="20"/>
                <w:lang w:val="ka-GE"/>
              </w:rPr>
              <w:t>3,25</w:t>
            </w:r>
            <w:r w:rsidR="00DD52C0" w:rsidRPr="001D7CD2">
              <w:rPr>
                <w:rFonts w:ascii="BPG Arial" w:hAnsi="BPG Arial" w:cs="BPG Arial"/>
                <w:sz w:val="20"/>
                <w:szCs w:val="20"/>
                <w:lang w:val="ka-GE"/>
              </w:rPr>
              <w:t>3</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698" w:type="dxa"/>
            <w:hideMark/>
          </w:tcPr>
          <w:p w:rsidR="00E4055E" w:rsidRPr="00E4055E" w:rsidRDefault="00E4055E" w:rsidP="00522293">
            <w:pPr>
              <w:rPr>
                <w:rFonts w:ascii="BPG Arial" w:hAnsi="BPG Arial" w:cs="BPG Arial"/>
                <w:b w:val="0"/>
                <w:sz w:val="20"/>
                <w:szCs w:val="20"/>
              </w:rPr>
            </w:pPr>
            <w:r w:rsidRPr="00E4055E">
              <w:rPr>
                <w:rFonts w:ascii="BPG Arial" w:hAnsi="BPG Arial" w:cs="BPG Arial"/>
                <w:b w:val="0"/>
                <w:sz w:val="20"/>
                <w:szCs w:val="20"/>
                <w:lang w:val="ka-GE"/>
              </w:rPr>
              <w:t>მთავრობის მთლიანი ვალი</w:t>
            </w:r>
          </w:p>
        </w:tc>
        <w:tc>
          <w:tcPr>
            <w:tcW w:w="1397" w:type="dxa"/>
            <w:noWrap/>
            <w:hideMark/>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hAnsi="BPG Arial" w:cs="BPG Arial"/>
                <w:bCs/>
                <w:sz w:val="20"/>
                <w:szCs w:val="20"/>
                <w:lang w:val="ka-GE"/>
              </w:rPr>
            </w:pPr>
            <w:r w:rsidRPr="00E4055E">
              <w:rPr>
                <w:rFonts w:ascii="BPG Arial" w:hAnsi="BPG Arial" w:cs="BPG Arial"/>
                <w:bCs/>
                <w:sz w:val="20"/>
                <w:szCs w:val="20"/>
                <w:lang w:val="ka-GE"/>
              </w:rPr>
              <w:t>16,062</w:t>
            </w:r>
          </w:p>
        </w:tc>
        <w:tc>
          <w:tcPr>
            <w:tcW w:w="1919" w:type="dxa"/>
            <w:noWrap/>
            <w:hideMark/>
          </w:tcPr>
          <w:p w:rsidR="00E4055E" w:rsidRPr="00E4055E" w:rsidRDefault="00E4055E" w:rsidP="00DD52C0">
            <w:pPr>
              <w:jc w:val="center"/>
              <w:cnfStyle w:val="000000100000" w:firstRow="0" w:lastRow="0" w:firstColumn="0" w:lastColumn="0" w:oddVBand="0" w:evenVBand="0" w:oddHBand="1" w:evenHBand="0" w:firstRowFirstColumn="0" w:firstRowLastColumn="0" w:lastRowFirstColumn="0" w:lastRowLastColumn="0"/>
              <w:rPr>
                <w:rFonts w:ascii="BPG Arial" w:hAnsi="BPG Arial" w:cs="BPG Arial"/>
                <w:bCs/>
                <w:sz w:val="20"/>
                <w:szCs w:val="20"/>
                <w:lang w:val="ka-GE"/>
              </w:rPr>
            </w:pPr>
            <w:r w:rsidRPr="001D7CD2">
              <w:rPr>
                <w:rFonts w:ascii="BPG Arial" w:hAnsi="BPG Arial" w:cs="BPG Arial"/>
                <w:bCs/>
                <w:sz w:val="20"/>
                <w:szCs w:val="20"/>
                <w:lang w:val="ka-GE"/>
              </w:rPr>
              <w:t>17,3</w:t>
            </w:r>
            <w:r w:rsidR="00DD52C0" w:rsidRPr="001D7CD2">
              <w:rPr>
                <w:rFonts w:ascii="BPG Arial" w:hAnsi="BPG Arial" w:cs="BPG Arial"/>
                <w:bCs/>
                <w:sz w:val="20"/>
                <w:szCs w:val="20"/>
                <w:lang w:val="ka-GE"/>
              </w:rPr>
              <w:t>51</w:t>
            </w:r>
          </w:p>
        </w:tc>
      </w:tr>
    </w:tbl>
    <w:p w:rsidR="00E4055E" w:rsidRPr="00E4055E" w:rsidRDefault="00E4055E" w:rsidP="00E4055E">
      <w:pPr>
        <w:spacing w:before="120"/>
        <w:jc w:val="both"/>
        <w:rPr>
          <w:rFonts w:ascii="BPG Arial" w:hAnsi="BPG Arial" w:cs="BPG Arial"/>
          <w:i/>
          <w:sz w:val="16"/>
          <w:szCs w:val="20"/>
          <w:lang w:val="ka-GE"/>
        </w:rPr>
      </w:pPr>
      <w:r w:rsidRPr="00E4055E">
        <w:rPr>
          <w:rFonts w:ascii="BPG Arial" w:hAnsi="BPG Arial" w:cs="BPG Arial"/>
          <w:i/>
          <w:sz w:val="16"/>
          <w:szCs w:val="20"/>
          <w:lang w:val="ka-GE"/>
        </w:rPr>
        <w:t>წყარო: საქართველოს ფინანსთა სამინისტრო</w:t>
      </w:r>
    </w:p>
    <w:p w:rsidR="00E4055E" w:rsidRPr="00E4055E" w:rsidRDefault="00E4055E" w:rsidP="00E4055E">
      <w:pPr>
        <w:jc w:val="both"/>
        <w:rPr>
          <w:rFonts w:ascii="BPG Arial" w:hAnsi="BPG Arial" w:cs="BPG Arial"/>
          <w:sz w:val="20"/>
          <w:szCs w:val="20"/>
          <w:lang w:val="ka-GE"/>
        </w:rPr>
      </w:pPr>
      <w:r w:rsidRPr="00E4055E">
        <w:rPr>
          <w:rFonts w:ascii="BPG Arial" w:hAnsi="BPG Arial" w:cs="BPG Arial"/>
          <w:sz w:val="20"/>
          <w:szCs w:val="20"/>
          <w:lang w:val="ka-GE"/>
        </w:rPr>
        <w:t xml:space="preserve">იმ შემთხვევაში თუ გაცვლითი კურსი 2018 წლის ბოლოსთვის შენარჩუნდებოდა გასულ წლის ბოლოს მაჩვენებელზე, მთავრობის მთლიანი </w:t>
      </w:r>
      <w:r w:rsidRPr="00873556">
        <w:rPr>
          <w:rFonts w:ascii="BPG Arial" w:hAnsi="BPG Arial" w:cs="BPG Arial"/>
          <w:sz w:val="20"/>
          <w:szCs w:val="20"/>
          <w:lang w:val="ka-GE"/>
        </w:rPr>
        <w:t xml:space="preserve">ვალის ფარდობა მშპ-თან დაფიქსირდებოდა 41.8%. 2018 წელს ლარის გაუფასურებამ გამოიწვია </w:t>
      </w:r>
      <w:r w:rsidRPr="00873556">
        <w:rPr>
          <w:rFonts w:ascii="BPG Arial" w:hAnsi="BPG Arial" w:cs="BPG Arial"/>
          <w:sz w:val="20"/>
          <w:szCs w:val="20"/>
          <w:lang w:val="ka-GE"/>
        </w:rPr>
        <w:lastRenderedPageBreak/>
        <w:t>მთავრობის</w:t>
      </w:r>
      <w:r w:rsidRPr="00E4055E">
        <w:rPr>
          <w:rFonts w:ascii="BPG Arial" w:hAnsi="BPG Arial" w:cs="BPG Arial"/>
          <w:sz w:val="20"/>
          <w:szCs w:val="20"/>
          <w:lang w:val="ka-GE"/>
        </w:rPr>
        <w:t xml:space="preserve"> ვალის მშპ-თან ფარდობის ზრდა, შედეგად, ვალის მშპ-თან ფარდობის 0.4%-ული პუნქტით  გაიზარდა და 2018 წლის ბოლოს მდგომარეობით მთავრობის ვალის აღნიშული მაჩვენებელი 42.2%-ზე დაფიქსირდა . </w:t>
      </w:r>
    </w:p>
    <w:p w:rsidR="00E4055E" w:rsidRPr="00E4055E" w:rsidRDefault="00E4055E" w:rsidP="00E4055E">
      <w:pPr>
        <w:pStyle w:val="Heading2"/>
        <w:rPr>
          <w:rFonts w:ascii="BPG Arial" w:hAnsi="BPG Arial"/>
        </w:rPr>
      </w:pPr>
      <w:r w:rsidRPr="00E4055E">
        <w:rPr>
          <w:rFonts w:ascii="BPG Arial" w:hAnsi="BPG Arial"/>
        </w:rPr>
        <w:t xml:space="preserve">დიაგრამა 4.1 მთავრობის მთლიანი ვალი %-ად მშპ-თან </w:t>
      </w:r>
    </w:p>
    <w:p w:rsidR="00E4055E" w:rsidRPr="00E4055E" w:rsidRDefault="00E4055E" w:rsidP="00E4055E">
      <w:pPr>
        <w:rPr>
          <w:rFonts w:ascii="BPG Arial" w:hAnsi="BPG Arial" w:cs="BPG Arial"/>
          <w:lang w:val="ka-GE"/>
        </w:rPr>
      </w:pPr>
      <w:r w:rsidRPr="00E4055E">
        <w:rPr>
          <w:rFonts w:ascii="BPG Arial" w:hAnsi="BPG Arial" w:cs="BPG Arial"/>
          <w:noProof/>
        </w:rPr>
        <w:drawing>
          <wp:inline distT="0" distB="0" distL="0" distR="0" wp14:anchorId="06987056" wp14:editId="211A4825">
            <wp:extent cx="3200400" cy="165735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E4055E">
        <w:rPr>
          <w:rFonts w:ascii="BPG Arial" w:hAnsi="BPG Arial" w:cs="BPG Arial"/>
          <w:i/>
          <w:sz w:val="16"/>
          <w:szCs w:val="20"/>
          <w:lang w:val="ka-GE"/>
        </w:rPr>
        <w:t>წყარო: საქართველოს ფინანსთა სამინისტრო</w:t>
      </w:r>
    </w:p>
    <w:p w:rsidR="00E4055E" w:rsidRPr="00E4055E" w:rsidRDefault="00E4055E" w:rsidP="00E4055E">
      <w:pPr>
        <w:pStyle w:val="Heading2"/>
        <w:rPr>
          <w:rFonts w:ascii="BPG Arial" w:hAnsi="BPG Arial"/>
        </w:rPr>
      </w:pPr>
      <w:r w:rsidRPr="00E4055E">
        <w:rPr>
          <w:rFonts w:ascii="BPG Arial" w:hAnsi="BPG Arial"/>
        </w:rPr>
        <w:t>ცხრილი 4.</w:t>
      </w:r>
      <w:r w:rsidRPr="00E4055E">
        <w:rPr>
          <w:rFonts w:ascii="BPG Arial" w:hAnsi="BPG Arial"/>
          <w:lang w:val="en-US"/>
        </w:rPr>
        <w:t>2</w:t>
      </w:r>
      <w:r w:rsidRPr="00E4055E">
        <w:rPr>
          <w:rFonts w:ascii="BPG Arial" w:hAnsi="BPG Arial"/>
        </w:rPr>
        <w:t xml:space="preserve"> მთავრობის ვალი %-ად მშპ-თან </w:t>
      </w:r>
    </w:p>
    <w:tbl>
      <w:tblPr>
        <w:tblStyle w:val="ListTable1Light-Accent3"/>
        <w:tblW w:w="5005" w:type="dxa"/>
        <w:tblLook w:val="04A0" w:firstRow="1" w:lastRow="0" w:firstColumn="1" w:lastColumn="0" w:noHBand="0" w:noVBand="1"/>
      </w:tblPr>
      <w:tblGrid>
        <w:gridCol w:w="2220"/>
        <w:gridCol w:w="1635"/>
        <w:gridCol w:w="1150"/>
      </w:tblGrid>
      <w:tr w:rsidR="00E4055E" w:rsidRPr="00E4055E" w:rsidTr="00522293">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220" w:type="dxa"/>
            <w:shd w:val="clear" w:color="auto" w:fill="82B2DE"/>
            <w:noWrap/>
            <w:hideMark/>
          </w:tcPr>
          <w:p w:rsidR="00E4055E" w:rsidRPr="00E4055E" w:rsidRDefault="00E4055E" w:rsidP="00522293">
            <w:pPr>
              <w:jc w:val="center"/>
              <w:rPr>
                <w:rFonts w:ascii="BPG Arial" w:hAnsi="BPG Arial" w:cs="BPG Arial"/>
                <w:sz w:val="20"/>
                <w:szCs w:val="20"/>
                <w:lang w:val="ka-GE"/>
              </w:rPr>
            </w:pPr>
          </w:p>
        </w:tc>
        <w:tc>
          <w:tcPr>
            <w:tcW w:w="1635" w:type="dxa"/>
            <w:shd w:val="clear" w:color="auto" w:fill="82B2DE"/>
            <w:noWrap/>
            <w:hideMark/>
          </w:tcPr>
          <w:p w:rsidR="00E4055E" w:rsidRPr="00E4055E" w:rsidRDefault="00E4055E" w:rsidP="00522293">
            <w:pPr>
              <w:jc w:val="center"/>
              <w:cnfStyle w:val="100000000000" w:firstRow="1"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2017</w:t>
            </w:r>
          </w:p>
        </w:tc>
        <w:tc>
          <w:tcPr>
            <w:tcW w:w="1150" w:type="dxa"/>
            <w:shd w:val="clear" w:color="auto" w:fill="82B2DE"/>
            <w:noWrap/>
            <w:hideMark/>
          </w:tcPr>
          <w:p w:rsidR="00E4055E" w:rsidRPr="00E4055E" w:rsidRDefault="00E4055E" w:rsidP="00522293">
            <w:pPr>
              <w:jc w:val="center"/>
              <w:cnfStyle w:val="100000000000" w:firstRow="1"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2018</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2220" w:type="dxa"/>
            <w:hideMark/>
          </w:tcPr>
          <w:p w:rsidR="00E4055E" w:rsidRPr="00E4055E" w:rsidRDefault="00E4055E" w:rsidP="00522293">
            <w:pPr>
              <w:rPr>
                <w:rFonts w:ascii="BPG Arial" w:hAnsi="BPG Arial" w:cs="BPG Arial"/>
                <w:b w:val="0"/>
                <w:sz w:val="20"/>
                <w:szCs w:val="20"/>
              </w:rPr>
            </w:pPr>
            <w:r w:rsidRPr="00E4055E">
              <w:rPr>
                <w:rFonts w:ascii="BPG Arial" w:hAnsi="BPG Arial" w:cs="BPG Arial"/>
                <w:b w:val="0"/>
                <w:sz w:val="20"/>
                <w:szCs w:val="20"/>
                <w:lang w:val="ka-GE"/>
              </w:rPr>
              <w:t xml:space="preserve">მთავრობის </w:t>
            </w:r>
            <w:r w:rsidRPr="00E4055E">
              <w:rPr>
                <w:rFonts w:ascii="BPG Arial" w:hAnsi="BPG Arial" w:cs="BPG Arial"/>
                <w:b w:val="0"/>
                <w:sz w:val="20"/>
                <w:szCs w:val="20"/>
              </w:rPr>
              <w:t xml:space="preserve"> </w:t>
            </w:r>
            <w:r w:rsidRPr="00E4055E">
              <w:rPr>
                <w:rFonts w:ascii="BPG Arial" w:hAnsi="BPG Arial" w:cs="BPG Arial"/>
                <w:b w:val="0"/>
                <w:sz w:val="20"/>
                <w:szCs w:val="20"/>
                <w:lang w:val="ka-GE"/>
              </w:rPr>
              <w:t>საგარეო ვალი %-ად მშპ-თან</w:t>
            </w:r>
            <w:r w:rsidRPr="00E4055E">
              <w:rPr>
                <w:rFonts w:ascii="BPG Arial" w:hAnsi="BPG Arial" w:cs="BPG Arial"/>
                <w:b w:val="0"/>
                <w:sz w:val="20"/>
                <w:szCs w:val="20"/>
              </w:rPr>
              <w:t xml:space="preserve">  </w:t>
            </w:r>
          </w:p>
        </w:tc>
        <w:tc>
          <w:tcPr>
            <w:tcW w:w="1635" w:type="dxa"/>
            <w:noWrap/>
            <w:hideMark/>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34.9%</w:t>
            </w:r>
          </w:p>
        </w:tc>
        <w:tc>
          <w:tcPr>
            <w:tcW w:w="1150" w:type="dxa"/>
            <w:noWrap/>
            <w:hideMark/>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34.3%</w:t>
            </w:r>
          </w:p>
        </w:tc>
      </w:tr>
      <w:tr w:rsidR="00E4055E" w:rsidRPr="00E4055E" w:rsidTr="00522293">
        <w:trPr>
          <w:trHeight w:val="662"/>
        </w:trPr>
        <w:tc>
          <w:tcPr>
            <w:cnfStyle w:val="001000000000" w:firstRow="0" w:lastRow="0" w:firstColumn="1" w:lastColumn="0" w:oddVBand="0" w:evenVBand="0" w:oddHBand="0" w:evenHBand="0" w:firstRowFirstColumn="0" w:firstRowLastColumn="0" w:lastRowFirstColumn="0" w:lastRowLastColumn="0"/>
            <w:tcW w:w="2220" w:type="dxa"/>
            <w:hideMark/>
          </w:tcPr>
          <w:p w:rsidR="00E4055E" w:rsidRPr="00E4055E" w:rsidRDefault="00E4055E" w:rsidP="00522293">
            <w:pPr>
              <w:rPr>
                <w:rFonts w:ascii="BPG Arial" w:hAnsi="BPG Arial" w:cs="BPG Arial"/>
                <w:b w:val="0"/>
                <w:sz w:val="20"/>
                <w:szCs w:val="20"/>
              </w:rPr>
            </w:pPr>
            <w:r w:rsidRPr="00E4055E">
              <w:rPr>
                <w:rFonts w:ascii="BPG Arial" w:hAnsi="BPG Arial" w:cs="BPG Arial"/>
                <w:b w:val="0"/>
                <w:sz w:val="20"/>
                <w:szCs w:val="20"/>
                <w:lang w:val="ka-GE"/>
              </w:rPr>
              <w:t xml:space="preserve">მთავრობის </w:t>
            </w:r>
            <w:r w:rsidRPr="00E4055E">
              <w:rPr>
                <w:rFonts w:ascii="BPG Arial" w:hAnsi="BPG Arial" w:cs="BPG Arial"/>
                <w:b w:val="0"/>
                <w:sz w:val="20"/>
                <w:szCs w:val="20"/>
              </w:rPr>
              <w:t xml:space="preserve"> </w:t>
            </w:r>
            <w:r w:rsidRPr="00E4055E">
              <w:rPr>
                <w:rFonts w:ascii="BPG Arial" w:hAnsi="BPG Arial" w:cs="BPG Arial"/>
                <w:b w:val="0"/>
                <w:sz w:val="20"/>
                <w:szCs w:val="20"/>
                <w:lang w:val="ka-GE"/>
              </w:rPr>
              <w:t>საშინაო ვალი %-ად მშპ-თან</w:t>
            </w:r>
          </w:p>
        </w:tc>
        <w:tc>
          <w:tcPr>
            <w:tcW w:w="1635" w:type="dxa"/>
            <w:noWrap/>
            <w:hideMark/>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7.6%</w:t>
            </w:r>
          </w:p>
        </w:tc>
        <w:tc>
          <w:tcPr>
            <w:tcW w:w="1150" w:type="dxa"/>
            <w:noWrap/>
            <w:hideMark/>
          </w:tcPr>
          <w:p w:rsidR="00E4055E" w:rsidRPr="00E4055E" w:rsidRDefault="00E4055E" w:rsidP="00522293">
            <w:pPr>
              <w:jc w:val="center"/>
              <w:cnfStyle w:val="000000000000" w:firstRow="0" w:lastRow="0" w:firstColumn="0" w:lastColumn="0" w:oddVBand="0" w:evenVBand="0" w:oddHBand="0"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7.9%</w:t>
            </w:r>
          </w:p>
        </w:tc>
      </w:tr>
      <w:tr w:rsidR="00E4055E" w:rsidRPr="00E4055E" w:rsidTr="0052229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20" w:type="dxa"/>
            <w:hideMark/>
          </w:tcPr>
          <w:p w:rsidR="00E4055E" w:rsidRPr="00E4055E" w:rsidRDefault="00E4055E" w:rsidP="00522293">
            <w:pPr>
              <w:rPr>
                <w:rFonts w:ascii="BPG Arial" w:hAnsi="BPG Arial" w:cs="BPG Arial"/>
                <w:b w:val="0"/>
                <w:sz w:val="20"/>
                <w:szCs w:val="20"/>
              </w:rPr>
            </w:pPr>
            <w:r w:rsidRPr="00E4055E">
              <w:rPr>
                <w:rFonts w:ascii="BPG Arial" w:hAnsi="BPG Arial" w:cs="BPG Arial"/>
                <w:b w:val="0"/>
                <w:sz w:val="20"/>
                <w:szCs w:val="20"/>
                <w:lang w:val="ka-GE"/>
              </w:rPr>
              <w:t>მთავრობის</w:t>
            </w:r>
            <w:r w:rsidRPr="00E4055E">
              <w:rPr>
                <w:rFonts w:ascii="BPG Arial" w:hAnsi="BPG Arial" w:cs="BPG Arial"/>
                <w:b w:val="0"/>
                <w:sz w:val="20"/>
                <w:szCs w:val="20"/>
              </w:rPr>
              <w:t xml:space="preserve"> </w:t>
            </w:r>
            <w:r w:rsidRPr="00E4055E">
              <w:rPr>
                <w:rFonts w:ascii="BPG Arial" w:hAnsi="BPG Arial" w:cs="BPG Arial"/>
                <w:b w:val="0"/>
                <w:sz w:val="20"/>
                <w:szCs w:val="20"/>
                <w:lang w:val="ka-GE"/>
              </w:rPr>
              <w:t xml:space="preserve"> </w:t>
            </w:r>
            <w:r w:rsidRPr="00E4055E">
              <w:rPr>
                <w:rFonts w:ascii="BPG Arial" w:hAnsi="BPG Arial" w:cs="BPG Arial"/>
                <w:b w:val="0"/>
                <w:sz w:val="20"/>
                <w:szCs w:val="20"/>
              </w:rPr>
              <w:t xml:space="preserve">  </w:t>
            </w:r>
            <w:r w:rsidRPr="00E4055E">
              <w:rPr>
                <w:rFonts w:ascii="BPG Arial" w:hAnsi="BPG Arial" w:cs="BPG Arial"/>
                <w:b w:val="0"/>
                <w:sz w:val="20"/>
                <w:szCs w:val="20"/>
                <w:lang w:val="ka-GE"/>
              </w:rPr>
              <w:t>მთლიანი ვალი %-ად მშპ-თან</w:t>
            </w:r>
          </w:p>
        </w:tc>
        <w:tc>
          <w:tcPr>
            <w:tcW w:w="1635" w:type="dxa"/>
            <w:noWrap/>
            <w:hideMark/>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42.4%</w:t>
            </w:r>
          </w:p>
        </w:tc>
        <w:tc>
          <w:tcPr>
            <w:tcW w:w="1150" w:type="dxa"/>
            <w:noWrap/>
            <w:hideMark/>
          </w:tcPr>
          <w:p w:rsidR="00E4055E" w:rsidRPr="00E4055E" w:rsidRDefault="00E4055E" w:rsidP="00522293">
            <w:pPr>
              <w:jc w:val="center"/>
              <w:cnfStyle w:val="000000100000" w:firstRow="0" w:lastRow="0" w:firstColumn="0" w:lastColumn="0" w:oddVBand="0" w:evenVBand="0" w:oddHBand="1" w:evenHBand="0" w:firstRowFirstColumn="0" w:firstRowLastColumn="0" w:lastRowFirstColumn="0" w:lastRowLastColumn="0"/>
              <w:rPr>
                <w:rFonts w:ascii="BPG Arial" w:hAnsi="BPG Arial" w:cs="BPG Arial"/>
                <w:sz w:val="20"/>
                <w:szCs w:val="20"/>
                <w:lang w:val="ka-GE"/>
              </w:rPr>
            </w:pPr>
            <w:r w:rsidRPr="00E4055E">
              <w:rPr>
                <w:rFonts w:ascii="BPG Arial" w:hAnsi="BPG Arial" w:cs="BPG Arial"/>
                <w:sz w:val="20"/>
                <w:szCs w:val="20"/>
                <w:lang w:val="ka-GE"/>
              </w:rPr>
              <w:t>42.2%</w:t>
            </w:r>
          </w:p>
        </w:tc>
      </w:tr>
    </w:tbl>
    <w:p w:rsidR="00E4055E" w:rsidRPr="00E4055E" w:rsidRDefault="00E4055E" w:rsidP="00E4055E">
      <w:pPr>
        <w:spacing w:before="120"/>
        <w:jc w:val="both"/>
        <w:rPr>
          <w:rFonts w:ascii="BPG Arial" w:hAnsi="BPG Arial" w:cs="BPG Arial"/>
          <w:i/>
          <w:sz w:val="16"/>
          <w:szCs w:val="20"/>
          <w:lang w:val="ka-GE"/>
        </w:rPr>
      </w:pPr>
      <w:r w:rsidRPr="00E4055E">
        <w:rPr>
          <w:rFonts w:ascii="BPG Arial" w:hAnsi="BPG Arial" w:cs="BPG Arial"/>
          <w:i/>
          <w:sz w:val="16"/>
          <w:szCs w:val="20"/>
          <w:lang w:val="ka-GE"/>
        </w:rPr>
        <w:t>წყარო: საქართველოს ფინანსთა სამინისტრო</w:t>
      </w:r>
    </w:p>
    <w:p w:rsidR="00E4055E" w:rsidRPr="00E4055E" w:rsidRDefault="00E4055E">
      <w:pPr>
        <w:rPr>
          <w:rFonts w:ascii="BPG Arial" w:hAnsi="BPG Arial" w:cs="BPG Arial"/>
          <w:i/>
          <w:sz w:val="16"/>
          <w:szCs w:val="16"/>
          <w:lang w:val="ka-GE"/>
        </w:rPr>
      </w:pPr>
    </w:p>
    <w:sectPr w:rsidR="00E4055E" w:rsidRPr="00E4055E" w:rsidSect="00E4055E">
      <w:type w:val="continuous"/>
      <w:pgSz w:w="12240" w:h="15840"/>
      <w:pgMar w:top="54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60F" w:rsidRDefault="00F7760F" w:rsidP="00400BED">
      <w:pPr>
        <w:spacing w:after="0" w:line="240" w:lineRule="auto"/>
      </w:pPr>
      <w:r>
        <w:separator/>
      </w:r>
    </w:p>
  </w:endnote>
  <w:endnote w:type="continuationSeparator" w:id="0">
    <w:p w:rsidR="00F7760F" w:rsidRDefault="00F7760F" w:rsidP="0040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BPG Nino Mtavruli">
    <w:panose1 w:val="02000506000000020004"/>
    <w:charset w:val="00"/>
    <w:family w:val="auto"/>
    <w:pitch w:val="variable"/>
    <w:sig w:usb0="84000027" w:usb1="1000004A" w:usb2="00000000" w:usb3="00000000" w:csb0="00000001" w:csb1="00000000"/>
  </w:font>
  <w:font w:name="BPG Arial">
    <w:panose1 w:val="020B0604020202020204"/>
    <w:charset w:val="00"/>
    <w:family w:val="swiss"/>
    <w:pitch w:val="variable"/>
    <w:sig w:usb0="A4002AFF" w:usb1="D00078FB"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403408"/>
      <w:docPartObj>
        <w:docPartGallery w:val="Page Numbers (Bottom of Page)"/>
        <w:docPartUnique/>
      </w:docPartObj>
    </w:sdtPr>
    <w:sdtEndPr>
      <w:rPr>
        <w:noProof/>
      </w:rPr>
    </w:sdtEndPr>
    <w:sdtContent>
      <w:p w:rsidR="008079A6" w:rsidRDefault="008079A6">
        <w:pPr>
          <w:pStyle w:val="Footer"/>
          <w:jc w:val="right"/>
        </w:pPr>
        <w:r>
          <w:fldChar w:fldCharType="begin"/>
        </w:r>
        <w:r>
          <w:instrText xml:space="preserve"> PAGE   \* MERGEFORMAT </w:instrText>
        </w:r>
        <w:r>
          <w:fldChar w:fldCharType="separate"/>
        </w:r>
        <w:r w:rsidR="001D7CD2">
          <w:rPr>
            <w:noProof/>
          </w:rPr>
          <w:t>1</w:t>
        </w:r>
        <w:r>
          <w:rPr>
            <w:noProof/>
          </w:rPr>
          <w:fldChar w:fldCharType="end"/>
        </w:r>
      </w:p>
    </w:sdtContent>
  </w:sdt>
  <w:p w:rsidR="008079A6" w:rsidRDefault="00807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60F" w:rsidRDefault="00F7760F" w:rsidP="00400BED">
      <w:pPr>
        <w:spacing w:after="0" w:line="240" w:lineRule="auto"/>
      </w:pPr>
      <w:r>
        <w:separator/>
      </w:r>
    </w:p>
  </w:footnote>
  <w:footnote w:type="continuationSeparator" w:id="0">
    <w:p w:rsidR="00F7760F" w:rsidRDefault="00F7760F" w:rsidP="00400BED">
      <w:pPr>
        <w:spacing w:after="0" w:line="240" w:lineRule="auto"/>
      </w:pPr>
      <w:r>
        <w:continuationSeparator/>
      </w:r>
    </w:p>
  </w:footnote>
  <w:footnote w:id="1">
    <w:p w:rsidR="008079A6" w:rsidRPr="006C7F85" w:rsidRDefault="008079A6" w:rsidP="006C7F85">
      <w:pPr>
        <w:pStyle w:val="FootnoteText"/>
        <w:jc w:val="both"/>
        <w:rPr>
          <w:rFonts w:ascii="Sylfaen" w:hAnsi="Sylfaen"/>
          <w:sz w:val="18"/>
        </w:rPr>
      </w:pPr>
      <w:r>
        <w:rPr>
          <w:rStyle w:val="FootnoteReference"/>
        </w:rPr>
        <w:footnoteRef/>
      </w:r>
      <w:r>
        <w:t xml:space="preserve"> </w:t>
      </w:r>
      <w:r w:rsidRPr="006C7F85">
        <w:rPr>
          <w:rFonts w:ascii="Sylfaen" w:hAnsi="Sylfaen"/>
          <w:sz w:val="16"/>
          <w:szCs w:val="18"/>
          <w:lang w:val="ka-GE"/>
        </w:rPr>
        <w:t xml:space="preserve">არ მოიცავს </w:t>
      </w:r>
      <w:r w:rsidRPr="006C7F85">
        <w:rPr>
          <w:rFonts w:ascii="Sylfaen" w:hAnsi="Sylfaen"/>
          <w:i/>
          <w:sz w:val="16"/>
          <w:szCs w:val="18"/>
          <w:lang w:val="ka-GE"/>
        </w:rPr>
        <w:t>საშინაო</w:t>
      </w:r>
      <w:r w:rsidRPr="006C7F85">
        <w:rPr>
          <w:rFonts w:ascii="Sylfaen" w:hAnsi="Sylfaen"/>
          <w:sz w:val="16"/>
          <w:szCs w:val="18"/>
          <w:lang w:val="ka-GE"/>
        </w:rPr>
        <w:t xml:space="preserve"> „</w:t>
      </w:r>
      <w:r w:rsidRPr="006C7F85">
        <w:rPr>
          <w:rFonts w:ascii="Sylfaen" w:hAnsi="Sylfaen" w:cs="Sylfaen"/>
          <w:i/>
          <w:sz w:val="16"/>
          <w:szCs w:val="18"/>
        </w:rPr>
        <w:t>ე. წ. „</w:t>
      </w:r>
      <w:proofErr w:type="gramStart"/>
      <w:r w:rsidRPr="006C7F85">
        <w:rPr>
          <w:rFonts w:ascii="Sylfaen" w:hAnsi="Sylfaen" w:cs="Sylfaen"/>
          <w:i/>
          <w:sz w:val="16"/>
          <w:szCs w:val="18"/>
        </w:rPr>
        <w:t>ისტორიული</w:t>
      </w:r>
      <w:proofErr w:type="gramEnd"/>
      <w:r w:rsidRPr="006C7F85">
        <w:rPr>
          <w:rFonts w:ascii="Sylfaen" w:hAnsi="Sylfaen" w:cs="Sylfaen"/>
          <w:i/>
          <w:sz w:val="16"/>
          <w:szCs w:val="18"/>
        </w:rPr>
        <w:t xml:space="preserve"> ვალის“ </w:t>
      </w:r>
      <w:r w:rsidRPr="006C7F85">
        <w:rPr>
          <w:rFonts w:ascii="Sylfaen" w:hAnsi="Sylfaen" w:cs="Sylfaen"/>
          <w:i/>
          <w:sz w:val="16"/>
          <w:szCs w:val="18"/>
          <w:lang w:val="ka-GE"/>
        </w:rPr>
        <w:t>მოცულობას, ვინაიდან აღნიშნულ მაჩვენებელზე არ არსებობს სრულყოფილი ინფორმაცია</w:t>
      </w:r>
      <w:r>
        <w:rPr>
          <w:rFonts w:ascii="Sylfaen" w:hAnsi="Sylfaen" w:cs="Sylfaen"/>
          <w:i/>
          <w:sz w:val="16"/>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6A7"/>
    <w:multiLevelType w:val="hybridMultilevel"/>
    <w:tmpl w:val="E0907840"/>
    <w:lvl w:ilvl="0" w:tplc="04090001">
      <w:start w:val="1"/>
      <w:numFmt w:val="bullet"/>
      <w:lvlText w:val=""/>
      <w:lvlJc w:val="left"/>
      <w:pPr>
        <w:ind w:left="720" w:hanging="360"/>
      </w:pPr>
      <w:rPr>
        <w:rFonts w:ascii="Symbol" w:hAnsi="Symbol" w:hint="default"/>
      </w:rPr>
    </w:lvl>
    <w:lvl w:ilvl="1" w:tplc="4E683B8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07482"/>
    <w:multiLevelType w:val="hybridMultilevel"/>
    <w:tmpl w:val="CC12667E"/>
    <w:lvl w:ilvl="0" w:tplc="4E683B80">
      <w:start w:val="1"/>
      <w:numFmt w:val="bullet"/>
      <w:lvlText w:val="-"/>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13875CC3"/>
    <w:multiLevelType w:val="hybridMultilevel"/>
    <w:tmpl w:val="C8D668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955A3"/>
    <w:multiLevelType w:val="hybridMultilevel"/>
    <w:tmpl w:val="242C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F276E"/>
    <w:multiLevelType w:val="hybridMultilevel"/>
    <w:tmpl w:val="A8403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33694"/>
    <w:multiLevelType w:val="hybridMultilevel"/>
    <w:tmpl w:val="36CCA540"/>
    <w:lvl w:ilvl="0" w:tplc="4E683B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105F0"/>
    <w:multiLevelType w:val="hybridMultilevel"/>
    <w:tmpl w:val="FD3A3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F45785"/>
    <w:multiLevelType w:val="hybridMultilevel"/>
    <w:tmpl w:val="B86EFDCA"/>
    <w:lvl w:ilvl="0" w:tplc="39C46994">
      <w:numFmt w:val="bullet"/>
      <w:lvlText w:val=""/>
      <w:lvlJc w:val="left"/>
      <w:pPr>
        <w:ind w:left="1440" w:hanging="360"/>
      </w:pPr>
      <w:rPr>
        <w:rFonts w:ascii="Symbol" w:eastAsiaTheme="minorHAnsi" w:hAnsi="Symbol" w:cs="Sylfae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E2635D"/>
    <w:multiLevelType w:val="hybridMultilevel"/>
    <w:tmpl w:val="79FC498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726963E1"/>
    <w:multiLevelType w:val="hybridMultilevel"/>
    <w:tmpl w:val="D4B2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B03C67"/>
    <w:multiLevelType w:val="hybridMultilevel"/>
    <w:tmpl w:val="FFD05AA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0"/>
  </w:num>
  <w:num w:numId="2">
    <w:abstractNumId w:val="8"/>
  </w:num>
  <w:num w:numId="3">
    <w:abstractNumId w:val="4"/>
  </w:num>
  <w:num w:numId="4">
    <w:abstractNumId w:val="6"/>
  </w:num>
  <w:num w:numId="5">
    <w:abstractNumId w:val="0"/>
  </w:num>
  <w:num w:numId="6">
    <w:abstractNumId w:val="2"/>
  </w:num>
  <w:num w:numId="7">
    <w:abstractNumId w:val="9"/>
  </w:num>
  <w:num w:numId="8">
    <w:abstractNumId w:val="1"/>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F5"/>
    <w:rsid w:val="00001E43"/>
    <w:rsid w:val="00012780"/>
    <w:rsid w:val="00013D97"/>
    <w:rsid w:val="0001411B"/>
    <w:rsid w:val="00015303"/>
    <w:rsid w:val="000156E3"/>
    <w:rsid w:val="000162A1"/>
    <w:rsid w:val="00017DE3"/>
    <w:rsid w:val="00023762"/>
    <w:rsid w:val="0002796C"/>
    <w:rsid w:val="00030CF6"/>
    <w:rsid w:val="000340AB"/>
    <w:rsid w:val="0003606D"/>
    <w:rsid w:val="00036CFD"/>
    <w:rsid w:val="00037587"/>
    <w:rsid w:val="00037DB7"/>
    <w:rsid w:val="00040C4B"/>
    <w:rsid w:val="00041D5B"/>
    <w:rsid w:val="00044F01"/>
    <w:rsid w:val="000458CE"/>
    <w:rsid w:val="000526B7"/>
    <w:rsid w:val="00054AB0"/>
    <w:rsid w:val="00063126"/>
    <w:rsid w:val="00064717"/>
    <w:rsid w:val="00065901"/>
    <w:rsid w:val="00065AD3"/>
    <w:rsid w:val="0006735B"/>
    <w:rsid w:val="0007188A"/>
    <w:rsid w:val="00071A4F"/>
    <w:rsid w:val="00071D1D"/>
    <w:rsid w:val="00071DD7"/>
    <w:rsid w:val="00073EEF"/>
    <w:rsid w:val="00074A14"/>
    <w:rsid w:val="0007519C"/>
    <w:rsid w:val="000771C9"/>
    <w:rsid w:val="00080A73"/>
    <w:rsid w:val="0008119F"/>
    <w:rsid w:val="00081DE3"/>
    <w:rsid w:val="000858BE"/>
    <w:rsid w:val="00086A00"/>
    <w:rsid w:val="00091646"/>
    <w:rsid w:val="000957B3"/>
    <w:rsid w:val="00095B71"/>
    <w:rsid w:val="00096855"/>
    <w:rsid w:val="000969CB"/>
    <w:rsid w:val="00096CC2"/>
    <w:rsid w:val="000973FB"/>
    <w:rsid w:val="000A29EB"/>
    <w:rsid w:val="000A4467"/>
    <w:rsid w:val="000A5599"/>
    <w:rsid w:val="000A5F64"/>
    <w:rsid w:val="000B16F8"/>
    <w:rsid w:val="000B2189"/>
    <w:rsid w:val="000B567A"/>
    <w:rsid w:val="000B6954"/>
    <w:rsid w:val="000B6CAA"/>
    <w:rsid w:val="000C139F"/>
    <w:rsid w:val="000C4A44"/>
    <w:rsid w:val="000C57D0"/>
    <w:rsid w:val="000D046A"/>
    <w:rsid w:val="000D159E"/>
    <w:rsid w:val="000D1A17"/>
    <w:rsid w:val="000D4D25"/>
    <w:rsid w:val="000D7CFA"/>
    <w:rsid w:val="000D7D26"/>
    <w:rsid w:val="000E0438"/>
    <w:rsid w:val="000E4DAD"/>
    <w:rsid w:val="000E5F6B"/>
    <w:rsid w:val="000E7432"/>
    <w:rsid w:val="000E7E49"/>
    <w:rsid w:val="000F00E4"/>
    <w:rsid w:val="000F13F4"/>
    <w:rsid w:val="000F55BB"/>
    <w:rsid w:val="000F5720"/>
    <w:rsid w:val="000F7FD3"/>
    <w:rsid w:val="00102D0F"/>
    <w:rsid w:val="001055DA"/>
    <w:rsid w:val="00110A1B"/>
    <w:rsid w:val="00121AE2"/>
    <w:rsid w:val="00124299"/>
    <w:rsid w:val="001261C7"/>
    <w:rsid w:val="00126E5C"/>
    <w:rsid w:val="0013125A"/>
    <w:rsid w:val="001318E0"/>
    <w:rsid w:val="0013347B"/>
    <w:rsid w:val="00137ED5"/>
    <w:rsid w:val="00140A2F"/>
    <w:rsid w:val="00144098"/>
    <w:rsid w:val="001441DC"/>
    <w:rsid w:val="00145367"/>
    <w:rsid w:val="0014548C"/>
    <w:rsid w:val="001536D0"/>
    <w:rsid w:val="00154312"/>
    <w:rsid w:val="00157433"/>
    <w:rsid w:val="00160413"/>
    <w:rsid w:val="00162FC7"/>
    <w:rsid w:val="00164B20"/>
    <w:rsid w:val="0016733A"/>
    <w:rsid w:val="001673DC"/>
    <w:rsid w:val="00173BAA"/>
    <w:rsid w:val="00175151"/>
    <w:rsid w:val="001757D3"/>
    <w:rsid w:val="001763B0"/>
    <w:rsid w:val="00181ECC"/>
    <w:rsid w:val="00182518"/>
    <w:rsid w:val="00182832"/>
    <w:rsid w:val="00187C1C"/>
    <w:rsid w:val="00190A72"/>
    <w:rsid w:val="00193364"/>
    <w:rsid w:val="00193C76"/>
    <w:rsid w:val="00197E9D"/>
    <w:rsid w:val="001A24EC"/>
    <w:rsid w:val="001A2AFB"/>
    <w:rsid w:val="001A3600"/>
    <w:rsid w:val="001A397F"/>
    <w:rsid w:val="001B2633"/>
    <w:rsid w:val="001B4547"/>
    <w:rsid w:val="001B508D"/>
    <w:rsid w:val="001B5DAC"/>
    <w:rsid w:val="001C5235"/>
    <w:rsid w:val="001C5F44"/>
    <w:rsid w:val="001D0A60"/>
    <w:rsid w:val="001D17B2"/>
    <w:rsid w:val="001D5195"/>
    <w:rsid w:val="001D5ADC"/>
    <w:rsid w:val="001D65B8"/>
    <w:rsid w:val="001D6905"/>
    <w:rsid w:val="001D7AFC"/>
    <w:rsid w:val="001D7CD2"/>
    <w:rsid w:val="001E19CC"/>
    <w:rsid w:val="001E272E"/>
    <w:rsid w:val="001E2DD2"/>
    <w:rsid w:val="001E61BA"/>
    <w:rsid w:val="001E62A2"/>
    <w:rsid w:val="001E6933"/>
    <w:rsid w:val="001F1323"/>
    <w:rsid w:val="001F3BCB"/>
    <w:rsid w:val="00200F18"/>
    <w:rsid w:val="00203E0A"/>
    <w:rsid w:val="0020475E"/>
    <w:rsid w:val="00206BEB"/>
    <w:rsid w:val="00210947"/>
    <w:rsid w:val="00215653"/>
    <w:rsid w:val="0022130D"/>
    <w:rsid w:val="00225341"/>
    <w:rsid w:val="00233B5E"/>
    <w:rsid w:val="0023438F"/>
    <w:rsid w:val="00236007"/>
    <w:rsid w:val="0024105B"/>
    <w:rsid w:val="0024488E"/>
    <w:rsid w:val="00247C11"/>
    <w:rsid w:val="0025039F"/>
    <w:rsid w:val="00256FDD"/>
    <w:rsid w:val="00262BF3"/>
    <w:rsid w:val="00263EAD"/>
    <w:rsid w:val="00270120"/>
    <w:rsid w:val="00270C72"/>
    <w:rsid w:val="002758CB"/>
    <w:rsid w:val="0028042E"/>
    <w:rsid w:val="0028088E"/>
    <w:rsid w:val="00280FA2"/>
    <w:rsid w:val="00281A88"/>
    <w:rsid w:val="0028678E"/>
    <w:rsid w:val="0028789D"/>
    <w:rsid w:val="0029176A"/>
    <w:rsid w:val="00293858"/>
    <w:rsid w:val="0029394E"/>
    <w:rsid w:val="00294224"/>
    <w:rsid w:val="002A2174"/>
    <w:rsid w:val="002A3C73"/>
    <w:rsid w:val="002A4263"/>
    <w:rsid w:val="002B1FB3"/>
    <w:rsid w:val="002B3E23"/>
    <w:rsid w:val="002B47AA"/>
    <w:rsid w:val="002B61B5"/>
    <w:rsid w:val="002B6DAE"/>
    <w:rsid w:val="002B6F15"/>
    <w:rsid w:val="002B7EE6"/>
    <w:rsid w:val="002C2F60"/>
    <w:rsid w:val="002C41C2"/>
    <w:rsid w:val="002C7782"/>
    <w:rsid w:val="002D15C8"/>
    <w:rsid w:val="002D16E4"/>
    <w:rsid w:val="002D22B9"/>
    <w:rsid w:val="002D6813"/>
    <w:rsid w:val="002E3E75"/>
    <w:rsid w:val="002F292C"/>
    <w:rsid w:val="002F4A36"/>
    <w:rsid w:val="002F5FB0"/>
    <w:rsid w:val="002F7144"/>
    <w:rsid w:val="00300306"/>
    <w:rsid w:val="003028B4"/>
    <w:rsid w:val="00304455"/>
    <w:rsid w:val="00307471"/>
    <w:rsid w:val="00310E6E"/>
    <w:rsid w:val="00311508"/>
    <w:rsid w:val="00311D8A"/>
    <w:rsid w:val="00313468"/>
    <w:rsid w:val="003166CD"/>
    <w:rsid w:val="00317C22"/>
    <w:rsid w:val="0032795B"/>
    <w:rsid w:val="003303AF"/>
    <w:rsid w:val="00332B60"/>
    <w:rsid w:val="003351F0"/>
    <w:rsid w:val="003419E6"/>
    <w:rsid w:val="003425D6"/>
    <w:rsid w:val="00347FB5"/>
    <w:rsid w:val="00352E0D"/>
    <w:rsid w:val="0035676A"/>
    <w:rsid w:val="00361883"/>
    <w:rsid w:val="00364196"/>
    <w:rsid w:val="0037066E"/>
    <w:rsid w:val="00372A1B"/>
    <w:rsid w:val="00375F6E"/>
    <w:rsid w:val="00377B9F"/>
    <w:rsid w:val="00382167"/>
    <w:rsid w:val="003838EC"/>
    <w:rsid w:val="00387352"/>
    <w:rsid w:val="0039166F"/>
    <w:rsid w:val="00395CE1"/>
    <w:rsid w:val="003967C1"/>
    <w:rsid w:val="003A0E81"/>
    <w:rsid w:val="003A343D"/>
    <w:rsid w:val="003A4A93"/>
    <w:rsid w:val="003B1490"/>
    <w:rsid w:val="003B15C3"/>
    <w:rsid w:val="003B22D1"/>
    <w:rsid w:val="003B4834"/>
    <w:rsid w:val="003B5B47"/>
    <w:rsid w:val="003B68A7"/>
    <w:rsid w:val="003B775B"/>
    <w:rsid w:val="003C2AE8"/>
    <w:rsid w:val="003C3825"/>
    <w:rsid w:val="003C5914"/>
    <w:rsid w:val="003C60E3"/>
    <w:rsid w:val="003C633D"/>
    <w:rsid w:val="003D0F28"/>
    <w:rsid w:val="003D158A"/>
    <w:rsid w:val="003D5A3B"/>
    <w:rsid w:val="003D6E27"/>
    <w:rsid w:val="003E2AE8"/>
    <w:rsid w:val="003E2E05"/>
    <w:rsid w:val="003E2FDF"/>
    <w:rsid w:val="003E5A7C"/>
    <w:rsid w:val="003F208F"/>
    <w:rsid w:val="003F27BF"/>
    <w:rsid w:val="003F2860"/>
    <w:rsid w:val="003F3483"/>
    <w:rsid w:val="003F36B5"/>
    <w:rsid w:val="003F6F77"/>
    <w:rsid w:val="003F75A7"/>
    <w:rsid w:val="00400BED"/>
    <w:rsid w:val="00401A15"/>
    <w:rsid w:val="004033E5"/>
    <w:rsid w:val="00405A47"/>
    <w:rsid w:val="0040622C"/>
    <w:rsid w:val="0040699D"/>
    <w:rsid w:val="00410C40"/>
    <w:rsid w:val="004117C8"/>
    <w:rsid w:val="00416472"/>
    <w:rsid w:val="00425B8C"/>
    <w:rsid w:val="00425E7D"/>
    <w:rsid w:val="00426244"/>
    <w:rsid w:val="00427DC2"/>
    <w:rsid w:val="004324BD"/>
    <w:rsid w:val="00434625"/>
    <w:rsid w:val="004347CB"/>
    <w:rsid w:val="00441218"/>
    <w:rsid w:val="0044178B"/>
    <w:rsid w:val="004439FD"/>
    <w:rsid w:val="00445CA6"/>
    <w:rsid w:val="004464CC"/>
    <w:rsid w:val="004611B5"/>
    <w:rsid w:val="00462A0C"/>
    <w:rsid w:val="00466050"/>
    <w:rsid w:val="00466B57"/>
    <w:rsid w:val="00470E61"/>
    <w:rsid w:val="00471D7F"/>
    <w:rsid w:val="00480DC3"/>
    <w:rsid w:val="004816BC"/>
    <w:rsid w:val="004835AB"/>
    <w:rsid w:val="00485FD9"/>
    <w:rsid w:val="00490B44"/>
    <w:rsid w:val="00493136"/>
    <w:rsid w:val="00496409"/>
    <w:rsid w:val="0049754C"/>
    <w:rsid w:val="004A3196"/>
    <w:rsid w:val="004A3DB0"/>
    <w:rsid w:val="004B1263"/>
    <w:rsid w:val="004B29BC"/>
    <w:rsid w:val="004B46E8"/>
    <w:rsid w:val="004C036D"/>
    <w:rsid w:val="004C0704"/>
    <w:rsid w:val="004C59A6"/>
    <w:rsid w:val="004D17A6"/>
    <w:rsid w:val="004D26F9"/>
    <w:rsid w:val="004D7042"/>
    <w:rsid w:val="004D7B47"/>
    <w:rsid w:val="004E2497"/>
    <w:rsid w:val="004E422E"/>
    <w:rsid w:val="004F2321"/>
    <w:rsid w:val="004F5AB2"/>
    <w:rsid w:val="0050185A"/>
    <w:rsid w:val="00501E22"/>
    <w:rsid w:val="005131CE"/>
    <w:rsid w:val="00515451"/>
    <w:rsid w:val="005165EB"/>
    <w:rsid w:val="00522293"/>
    <w:rsid w:val="00523560"/>
    <w:rsid w:val="0053140C"/>
    <w:rsid w:val="0053399C"/>
    <w:rsid w:val="00534D33"/>
    <w:rsid w:val="0053506B"/>
    <w:rsid w:val="005370EC"/>
    <w:rsid w:val="0054275A"/>
    <w:rsid w:val="00543222"/>
    <w:rsid w:val="00544450"/>
    <w:rsid w:val="00547406"/>
    <w:rsid w:val="005532C7"/>
    <w:rsid w:val="0055381D"/>
    <w:rsid w:val="0055654D"/>
    <w:rsid w:val="0056160F"/>
    <w:rsid w:val="00564957"/>
    <w:rsid w:val="00564C7D"/>
    <w:rsid w:val="00567ACE"/>
    <w:rsid w:val="00570728"/>
    <w:rsid w:val="00570A55"/>
    <w:rsid w:val="00570C98"/>
    <w:rsid w:val="00572781"/>
    <w:rsid w:val="0057502A"/>
    <w:rsid w:val="00576720"/>
    <w:rsid w:val="00581B0F"/>
    <w:rsid w:val="005830B0"/>
    <w:rsid w:val="0058312E"/>
    <w:rsid w:val="005870D9"/>
    <w:rsid w:val="00590695"/>
    <w:rsid w:val="00591512"/>
    <w:rsid w:val="00594033"/>
    <w:rsid w:val="00595CEE"/>
    <w:rsid w:val="00596075"/>
    <w:rsid w:val="005A44F5"/>
    <w:rsid w:val="005A5523"/>
    <w:rsid w:val="005B3C35"/>
    <w:rsid w:val="005B498D"/>
    <w:rsid w:val="005B505D"/>
    <w:rsid w:val="005B5D38"/>
    <w:rsid w:val="005C0056"/>
    <w:rsid w:val="005C1518"/>
    <w:rsid w:val="005C212A"/>
    <w:rsid w:val="005C46D1"/>
    <w:rsid w:val="005D41B7"/>
    <w:rsid w:val="005E0A52"/>
    <w:rsid w:val="005E1257"/>
    <w:rsid w:val="005E2930"/>
    <w:rsid w:val="005E581F"/>
    <w:rsid w:val="005E5E26"/>
    <w:rsid w:val="005E63ED"/>
    <w:rsid w:val="005E7CA8"/>
    <w:rsid w:val="005F36E9"/>
    <w:rsid w:val="005F6B8A"/>
    <w:rsid w:val="00600923"/>
    <w:rsid w:val="006042C4"/>
    <w:rsid w:val="00607DFD"/>
    <w:rsid w:val="00615CCA"/>
    <w:rsid w:val="006168BD"/>
    <w:rsid w:val="006202AE"/>
    <w:rsid w:val="006204B4"/>
    <w:rsid w:val="00621E8E"/>
    <w:rsid w:val="00623F0F"/>
    <w:rsid w:val="00626122"/>
    <w:rsid w:val="006268F4"/>
    <w:rsid w:val="00631A9A"/>
    <w:rsid w:val="0063481F"/>
    <w:rsid w:val="0064753E"/>
    <w:rsid w:val="006500C4"/>
    <w:rsid w:val="00651040"/>
    <w:rsid w:val="0065336E"/>
    <w:rsid w:val="006546E7"/>
    <w:rsid w:val="006578EC"/>
    <w:rsid w:val="00661B66"/>
    <w:rsid w:val="00663921"/>
    <w:rsid w:val="006663B1"/>
    <w:rsid w:val="00667DDB"/>
    <w:rsid w:val="00673822"/>
    <w:rsid w:val="006776FE"/>
    <w:rsid w:val="0068034E"/>
    <w:rsid w:val="00682DC8"/>
    <w:rsid w:val="006830DB"/>
    <w:rsid w:val="00684B33"/>
    <w:rsid w:val="006859B7"/>
    <w:rsid w:val="00686D87"/>
    <w:rsid w:val="0068719D"/>
    <w:rsid w:val="00693321"/>
    <w:rsid w:val="00693542"/>
    <w:rsid w:val="00694AB3"/>
    <w:rsid w:val="00694EFF"/>
    <w:rsid w:val="006A0EC7"/>
    <w:rsid w:val="006A1E01"/>
    <w:rsid w:val="006A3476"/>
    <w:rsid w:val="006A41DE"/>
    <w:rsid w:val="006A47A2"/>
    <w:rsid w:val="006A7D49"/>
    <w:rsid w:val="006A7FCD"/>
    <w:rsid w:val="006B1B1E"/>
    <w:rsid w:val="006B398B"/>
    <w:rsid w:val="006B3FC1"/>
    <w:rsid w:val="006C2FB0"/>
    <w:rsid w:val="006C62DA"/>
    <w:rsid w:val="006C6499"/>
    <w:rsid w:val="006C77A4"/>
    <w:rsid w:val="006C7F85"/>
    <w:rsid w:val="006D2512"/>
    <w:rsid w:val="006D3126"/>
    <w:rsid w:val="006D5D4C"/>
    <w:rsid w:val="006D6E25"/>
    <w:rsid w:val="006D734B"/>
    <w:rsid w:val="006E02C4"/>
    <w:rsid w:val="006E1782"/>
    <w:rsid w:val="006E4EF9"/>
    <w:rsid w:val="006F1443"/>
    <w:rsid w:val="006F1A93"/>
    <w:rsid w:val="006F2BB7"/>
    <w:rsid w:val="006F334D"/>
    <w:rsid w:val="006F34C1"/>
    <w:rsid w:val="006F4151"/>
    <w:rsid w:val="006F4202"/>
    <w:rsid w:val="006F4803"/>
    <w:rsid w:val="006F576F"/>
    <w:rsid w:val="006F5BEB"/>
    <w:rsid w:val="006F6D3E"/>
    <w:rsid w:val="00700C95"/>
    <w:rsid w:val="007039CE"/>
    <w:rsid w:val="00705B9D"/>
    <w:rsid w:val="0070689E"/>
    <w:rsid w:val="00707FAF"/>
    <w:rsid w:val="007121D3"/>
    <w:rsid w:val="00712989"/>
    <w:rsid w:val="00712CC6"/>
    <w:rsid w:val="0071317C"/>
    <w:rsid w:val="00713B95"/>
    <w:rsid w:val="00714D99"/>
    <w:rsid w:val="00716043"/>
    <w:rsid w:val="00716759"/>
    <w:rsid w:val="00722371"/>
    <w:rsid w:val="0072498D"/>
    <w:rsid w:val="0072570D"/>
    <w:rsid w:val="0072749E"/>
    <w:rsid w:val="00727D30"/>
    <w:rsid w:val="00737314"/>
    <w:rsid w:val="007449DE"/>
    <w:rsid w:val="00746294"/>
    <w:rsid w:val="007464DB"/>
    <w:rsid w:val="00746651"/>
    <w:rsid w:val="007638B2"/>
    <w:rsid w:val="00764192"/>
    <w:rsid w:val="007643C1"/>
    <w:rsid w:val="00765195"/>
    <w:rsid w:val="00771909"/>
    <w:rsid w:val="007720D8"/>
    <w:rsid w:val="00780B7F"/>
    <w:rsid w:val="0078542F"/>
    <w:rsid w:val="00787C46"/>
    <w:rsid w:val="00790043"/>
    <w:rsid w:val="00797BDC"/>
    <w:rsid w:val="007A0D67"/>
    <w:rsid w:val="007A32FD"/>
    <w:rsid w:val="007A5E4F"/>
    <w:rsid w:val="007B41B0"/>
    <w:rsid w:val="007B4FCC"/>
    <w:rsid w:val="007B50C9"/>
    <w:rsid w:val="007B65D0"/>
    <w:rsid w:val="007B6928"/>
    <w:rsid w:val="007B6D1D"/>
    <w:rsid w:val="007C3960"/>
    <w:rsid w:val="007C3D31"/>
    <w:rsid w:val="007D1B10"/>
    <w:rsid w:val="007D2DE1"/>
    <w:rsid w:val="007D4E77"/>
    <w:rsid w:val="007D725C"/>
    <w:rsid w:val="007D7881"/>
    <w:rsid w:val="007D79E5"/>
    <w:rsid w:val="007E711B"/>
    <w:rsid w:val="007E716B"/>
    <w:rsid w:val="007F2E76"/>
    <w:rsid w:val="007F2F53"/>
    <w:rsid w:val="007F3733"/>
    <w:rsid w:val="007F71FD"/>
    <w:rsid w:val="0080503E"/>
    <w:rsid w:val="00806DA4"/>
    <w:rsid w:val="008079A6"/>
    <w:rsid w:val="00812C36"/>
    <w:rsid w:val="008153BB"/>
    <w:rsid w:val="00817C42"/>
    <w:rsid w:val="0082056D"/>
    <w:rsid w:val="00826C90"/>
    <w:rsid w:val="0083184C"/>
    <w:rsid w:val="008330FC"/>
    <w:rsid w:val="00834FAD"/>
    <w:rsid w:val="00836A37"/>
    <w:rsid w:val="00840241"/>
    <w:rsid w:val="008405A5"/>
    <w:rsid w:val="008416A6"/>
    <w:rsid w:val="00844711"/>
    <w:rsid w:val="00844751"/>
    <w:rsid w:val="0084587C"/>
    <w:rsid w:val="0085157F"/>
    <w:rsid w:val="008546EC"/>
    <w:rsid w:val="008564DE"/>
    <w:rsid w:val="00861F1F"/>
    <w:rsid w:val="00862004"/>
    <w:rsid w:val="00864429"/>
    <w:rsid w:val="0086615D"/>
    <w:rsid w:val="00866340"/>
    <w:rsid w:val="00866C5D"/>
    <w:rsid w:val="00871B7C"/>
    <w:rsid w:val="00873556"/>
    <w:rsid w:val="00873FD3"/>
    <w:rsid w:val="00881898"/>
    <w:rsid w:val="0088487C"/>
    <w:rsid w:val="00885C87"/>
    <w:rsid w:val="00890F23"/>
    <w:rsid w:val="008931CF"/>
    <w:rsid w:val="00895BDF"/>
    <w:rsid w:val="0089646B"/>
    <w:rsid w:val="008A1C29"/>
    <w:rsid w:val="008A296A"/>
    <w:rsid w:val="008A7DED"/>
    <w:rsid w:val="008B2C36"/>
    <w:rsid w:val="008B5C79"/>
    <w:rsid w:val="008C0A08"/>
    <w:rsid w:val="008C2A4C"/>
    <w:rsid w:val="008C387D"/>
    <w:rsid w:val="008C3F27"/>
    <w:rsid w:val="008C692E"/>
    <w:rsid w:val="008C7E2B"/>
    <w:rsid w:val="008D0387"/>
    <w:rsid w:val="008D1F2B"/>
    <w:rsid w:val="008D2251"/>
    <w:rsid w:val="008D3068"/>
    <w:rsid w:val="008D7651"/>
    <w:rsid w:val="008D7B2F"/>
    <w:rsid w:val="008E40B9"/>
    <w:rsid w:val="008E435A"/>
    <w:rsid w:val="008E772B"/>
    <w:rsid w:val="008F0B91"/>
    <w:rsid w:val="00903ED6"/>
    <w:rsid w:val="00905BCC"/>
    <w:rsid w:val="00907532"/>
    <w:rsid w:val="0091662B"/>
    <w:rsid w:val="009274F9"/>
    <w:rsid w:val="00927EE7"/>
    <w:rsid w:val="009330E5"/>
    <w:rsid w:val="009335FA"/>
    <w:rsid w:val="00935F0A"/>
    <w:rsid w:val="009363B9"/>
    <w:rsid w:val="00941504"/>
    <w:rsid w:val="009453D8"/>
    <w:rsid w:val="009515B0"/>
    <w:rsid w:val="009531BC"/>
    <w:rsid w:val="0096271C"/>
    <w:rsid w:val="0096590B"/>
    <w:rsid w:val="009660A9"/>
    <w:rsid w:val="0096735A"/>
    <w:rsid w:val="009734FB"/>
    <w:rsid w:val="009816B7"/>
    <w:rsid w:val="00982850"/>
    <w:rsid w:val="00982E29"/>
    <w:rsid w:val="00984BB5"/>
    <w:rsid w:val="00986AAF"/>
    <w:rsid w:val="009917B8"/>
    <w:rsid w:val="00991B14"/>
    <w:rsid w:val="009921E7"/>
    <w:rsid w:val="00997661"/>
    <w:rsid w:val="009A1016"/>
    <w:rsid w:val="009A2872"/>
    <w:rsid w:val="009A7187"/>
    <w:rsid w:val="009A78B3"/>
    <w:rsid w:val="009A7CFF"/>
    <w:rsid w:val="009B1B48"/>
    <w:rsid w:val="009B63F3"/>
    <w:rsid w:val="009B6F6F"/>
    <w:rsid w:val="009B76F6"/>
    <w:rsid w:val="009C1DED"/>
    <w:rsid w:val="009C3A0F"/>
    <w:rsid w:val="009C6F6B"/>
    <w:rsid w:val="009C7A0D"/>
    <w:rsid w:val="009D1D40"/>
    <w:rsid w:val="009D383C"/>
    <w:rsid w:val="009D5407"/>
    <w:rsid w:val="009D575E"/>
    <w:rsid w:val="009D66CB"/>
    <w:rsid w:val="009D72B5"/>
    <w:rsid w:val="009D72DB"/>
    <w:rsid w:val="009E33C4"/>
    <w:rsid w:val="009E49DA"/>
    <w:rsid w:val="009E5F2B"/>
    <w:rsid w:val="009F177E"/>
    <w:rsid w:val="009F1D79"/>
    <w:rsid w:val="009F6AC0"/>
    <w:rsid w:val="009F7E90"/>
    <w:rsid w:val="00A04E5E"/>
    <w:rsid w:val="00A1081B"/>
    <w:rsid w:val="00A12C85"/>
    <w:rsid w:val="00A13C99"/>
    <w:rsid w:val="00A145F4"/>
    <w:rsid w:val="00A2021C"/>
    <w:rsid w:val="00A2126C"/>
    <w:rsid w:val="00A26B28"/>
    <w:rsid w:val="00A304CC"/>
    <w:rsid w:val="00A30759"/>
    <w:rsid w:val="00A32DCB"/>
    <w:rsid w:val="00A404B7"/>
    <w:rsid w:val="00A45EB8"/>
    <w:rsid w:val="00A5293F"/>
    <w:rsid w:val="00A56E3B"/>
    <w:rsid w:val="00A57273"/>
    <w:rsid w:val="00A6278E"/>
    <w:rsid w:val="00A63967"/>
    <w:rsid w:val="00A67F51"/>
    <w:rsid w:val="00A74699"/>
    <w:rsid w:val="00A751B7"/>
    <w:rsid w:val="00A761DC"/>
    <w:rsid w:val="00A770D1"/>
    <w:rsid w:val="00A8306F"/>
    <w:rsid w:val="00A854D8"/>
    <w:rsid w:val="00A85818"/>
    <w:rsid w:val="00A87F14"/>
    <w:rsid w:val="00A90B92"/>
    <w:rsid w:val="00A90C44"/>
    <w:rsid w:val="00A91823"/>
    <w:rsid w:val="00A93CD1"/>
    <w:rsid w:val="00AA121D"/>
    <w:rsid w:val="00AA1660"/>
    <w:rsid w:val="00AB0A72"/>
    <w:rsid w:val="00AB4534"/>
    <w:rsid w:val="00AB5A99"/>
    <w:rsid w:val="00AC1154"/>
    <w:rsid w:val="00AC1CC1"/>
    <w:rsid w:val="00AC2209"/>
    <w:rsid w:val="00AD0BC4"/>
    <w:rsid w:val="00AD2AF0"/>
    <w:rsid w:val="00AD2D43"/>
    <w:rsid w:val="00AD5E57"/>
    <w:rsid w:val="00AE3BBE"/>
    <w:rsid w:val="00AF30B1"/>
    <w:rsid w:val="00AF5973"/>
    <w:rsid w:val="00AF5E40"/>
    <w:rsid w:val="00AF5FB1"/>
    <w:rsid w:val="00AF76B7"/>
    <w:rsid w:val="00AF7D69"/>
    <w:rsid w:val="00B02101"/>
    <w:rsid w:val="00B04108"/>
    <w:rsid w:val="00B04141"/>
    <w:rsid w:val="00B05903"/>
    <w:rsid w:val="00B06D70"/>
    <w:rsid w:val="00B07D01"/>
    <w:rsid w:val="00B118E0"/>
    <w:rsid w:val="00B12E23"/>
    <w:rsid w:val="00B13F75"/>
    <w:rsid w:val="00B14B51"/>
    <w:rsid w:val="00B157CD"/>
    <w:rsid w:val="00B15E0F"/>
    <w:rsid w:val="00B17B37"/>
    <w:rsid w:val="00B20166"/>
    <w:rsid w:val="00B224DB"/>
    <w:rsid w:val="00B2284C"/>
    <w:rsid w:val="00B236F8"/>
    <w:rsid w:val="00B248CA"/>
    <w:rsid w:val="00B25EAA"/>
    <w:rsid w:val="00B30876"/>
    <w:rsid w:val="00B3130D"/>
    <w:rsid w:val="00B32432"/>
    <w:rsid w:val="00B44750"/>
    <w:rsid w:val="00B44900"/>
    <w:rsid w:val="00B460EB"/>
    <w:rsid w:val="00B502E6"/>
    <w:rsid w:val="00B5085B"/>
    <w:rsid w:val="00B55FD3"/>
    <w:rsid w:val="00B57E95"/>
    <w:rsid w:val="00B60154"/>
    <w:rsid w:val="00B61F3B"/>
    <w:rsid w:val="00B64DB8"/>
    <w:rsid w:val="00B662F1"/>
    <w:rsid w:val="00B6654D"/>
    <w:rsid w:val="00B67339"/>
    <w:rsid w:val="00B72782"/>
    <w:rsid w:val="00B73877"/>
    <w:rsid w:val="00B741CD"/>
    <w:rsid w:val="00B7509F"/>
    <w:rsid w:val="00B76574"/>
    <w:rsid w:val="00B830F8"/>
    <w:rsid w:val="00B84C15"/>
    <w:rsid w:val="00B95192"/>
    <w:rsid w:val="00B95528"/>
    <w:rsid w:val="00BA2607"/>
    <w:rsid w:val="00BA297C"/>
    <w:rsid w:val="00BA6094"/>
    <w:rsid w:val="00BB4019"/>
    <w:rsid w:val="00BC132A"/>
    <w:rsid w:val="00BC168E"/>
    <w:rsid w:val="00BC4C7D"/>
    <w:rsid w:val="00BC505C"/>
    <w:rsid w:val="00BC5E24"/>
    <w:rsid w:val="00BC764D"/>
    <w:rsid w:val="00BD1D05"/>
    <w:rsid w:val="00BD3C50"/>
    <w:rsid w:val="00BD4E03"/>
    <w:rsid w:val="00BD7F9C"/>
    <w:rsid w:val="00BE14E0"/>
    <w:rsid w:val="00BE4984"/>
    <w:rsid w:val="00BE4EE0"/>
    <w:rsid w:val="00BE777E"/>
    <w:rsid w:val="00BF0EBD"/>
    <w:rsid w:val="00BF151B"/>
    <w:rsid w:val="00BF1937"/>
    <w:rsid w:val="00BF426D"/>
    <w:rsid w:val="00BF4EC7"/>
    <w:rsid w:val="00BF50A9"/>
    <w:rsid w:val="00BF5CF6"/>
    <w:rsid w:val="00C0434C"/>
    <w:rsid w:val="00C04FBA"/>
    <w:rsid w:val="00C11D79"/>
    <w:rsid w:val="00C126E1"/>
    <w:rsid w:val="00C13117"/>
    <w:rsid w:val="00C136E3"/>
    <w:rsid w:val="00C17F88"/>
    <w:rsid w:val="00C2136E"/>
    <w:rsid w:val="00C21AE9"/>
    <w:rsid w:val="00C31756"/>
    <w:rsid w:val="00C31F7F"/>
    <w:rsid w:val="00C3279B"/>
    <w:rsid w:val="00C367E2"/>
    <w:rsid w:val="00C36A3D"/>
    <w:rsid w:val="00C37E2F"/>
    <w:rsid w:val="00C42DBB"/>
    <w:rsid w:val="00C44420"/>
    <w:rsid w:val="00C4579F"/>
    <w:rsid w:val="00C52BA0"/>
    <w:rsid w:val="00C644C6"/>
    <w:rsid w:val="00C6464F"/>
    <w:rsid w:val="00C66081"/>
    <w:rsid w:val="00C6765C"/>
    <w:rsid w:val="00C676F1"/>
    <w:rsid w:val="00C73F59"/>
    <w:rsid w:val="00C74F29"/>
    <w:rsid w:val="00C757E0"/>
    <w:rsid w:val="00C75813"/>
    <w:rsid w:val="00C75C56"/>
    <w:rsid w:val="00C765DD"/>
    <w:rsid w:val="00C80BCF"/>
    <w:rsid w:val="00C84F98"/>
    <w:rsid w:val="00C91918"/>
    <w:rsid w:val="00C9602D"/>
    <w:rsid w:val="00C9708E"/>
    <w:rsid w:val="00CA4A72"/>
    <w:rsid w:val="00CA65F9"/>
    <w:rsid w:val="00CA70A1"/>
    <w:rsid w:val="00CB2BCD"/>
    <w:rsid w:val="00CB36D7"/>
    <w:rsid w:val="00CB3F5C"/>
    <w:rsid w:val="00CB57F7"/>
    <w:rsid w:val="00CB6749"/>
    <w:rsid w:val="00CC1535"/>
    <w:rsid w:val="00CC46C4"/>
    <w:rsid w:val="00CC61C6"/>
    <w:rsid w:val="00CC6C0E"/>
    <w:rsid w:val="00CD1557"/>
    <w:rsid w:val="00CD2440"/>
    <w:rsid w:val="00CD352C"/>
    <w:rsid w:val="00CD7C57"/>
    <w:rsid w:val="00CE327F"/>
    <w:rsid w:val="00CE5649"/>
    <w:rsid w:val="00CF3A41"/>
    <w:rsid w:val="00D01070"/>
    <w:rsid w:val="00D02027"/>
    <w:rsid w:val="00D0479D"/>
    <w:rsid w:val="00D04E46"/>
    <w:rsid w:val="00D05684"/>
    <w:rsid w:val="00D059C8"/>
    <w:rsid w:val="00D10101"/>
    <w:rsid w:val="00D1142C"/>
    <w:rsid w:val="00D12397"/>
    <w:rsid w:val="00D207EF"/>
    <w:rsid w:val="00D21BD3"/>
    <w:rsid w:val="00D2609D"/>
    <w:rsid w:val="00D261E7"/>
    <w:rsid w:val="00D26939"/>
    <w:rsid w:val="00D31A08"/>
    <w:rsid w:val="00D32336"/>
    <w:rsid w:val="00D3238E"/>
    <w:rsid w:val="00D34895"/>
    <w:rsid w:val="00D41A8A"/>
    <w:rsid w:val="00D42125"/>
    <w:rsid w:val="00D46022"/>
    <w:rsid w:val="00D47CCE"/>
    <w:rsid w:val="00D539F2"/>
    <w:rsid w:val="00D53A3C"/>
    <w:rsid w:val="00D55D57"/>
    <w:rsid w:val="00D568BA"/>
    <w:rsid w:val="00D57A95"/>
    <w:rsid w:val="00D62208"/>
    <w:rsid w:val="00D628D5"/>
    <w:rsid w:val="00D62E87"/>
    <w:rsid w:val="00D651F7"/>
    <w:rsid w:val="00D66DD7"/>
    <w:rsid w:val="00D677AE"/>
    <w:rsid w:val="00D713F6"/>
    <w:rsid w:val="00D729AB"/>
    <w:rsid w:val="00D73825"/>
    <w:rsid w:val="00D74371"/>
    <w:rsid w:val="00D77528"/>
    <w:rsid w:val="00D80890"/>
    <w:rsid w:val="00D824F1"/>
    <w:rsid w:val="00D82521"/>
    <w:rsid w:val="00D82D13"/>
    <w:rsid w:val="00D83C3E"/>
    <w:rsid w:val="00D84173"/>
    <w:rsid w:val="00D8647C"/>
    <w:rsid w:val="00D90239"/>
    <w:rsid w:val="00D918E1"/>
    <w:rsid w:val="00D920AD"/>
    <w:rsid w:val="00D94C3D"/>
    <w:rsid w:val="00DA27F4"/>
    <w:rsid w:val="00DA2E3F"/>
    <w:rsid w:val="00DA3080"/>
    <w:rsid w:val="00DA395D"/>
    <w:rsid w:val="00DA516E"/>
    <w:rsid w:val="00DA521E"/>
    <w:rsid w:val="00DB1C54"/>
    <w:rsid w:val="00DB2B66"/>
    <w:rsid w:val="00DB30DF"/>
    <w:rsid w:val="00DC24F5"/>
    <w:rsid w:val="00DC3604"/>
    <w:rsid w:val="00DD2856"/>
    <w:rsid w:val="00DD52C0"/>
    <w:rsid w:val="00DD69EE"/>
    <w:rsid w:val="00DE18E6"/>
    <w:rsid w:val="00DE4001"/>
    <w:rsid w:val="00DE5A88"/>
    <w:rsid w:val="00DE5E51"/>
    <w:rsid w:val="00DE64A1"/>
    <w:rsid w:val="00DF0EE9"/>
    <w:rsid w:val="00DF4B86"/>
    <w:rsid w:val="00DF5D2F"/>
    <w:rsid w:val="00E014B2"/>
    <w:rsid w:val="00E01ADA"/>
    <w:rsid w:val="00E01BC8"/>
    <w:rsid w:val="00E02C4C"/>
    <w:rsid w:val="00E07907"/>
    <w:rsid w:val="00E079D4"/>
    <w:rsid w:val="00E11336"/>
    <w:rsid w:val="00E17E10"/>
    <w:rsid w:val="00E20D5F"/>
    <w:rsid w:val="00E224DE"/>
    <w:rsid w:val="00E2573D"/>
    <w:rsid w:val="00E30881"/>
    <w:rsid w:val="00E31BC0"/>
    <w:rsid w:val="00E33726"/>
    <w:rsid w:val="00E35BB0"/>
    <w:rsid w:val="00E3693C"/>
    <w:rsid w:val="00E36B7F"/>
    <w:rsid w:val="00E4055E"/>
    <w:rsid w:val="00E407B5"/>
    <w:rsid w:val="00E419A0"/>
    <w:rsid w:val="00E44522"/>
    <w:rsid w:val="00E46C45"/>
    <w:rsid w:val="00E513A2"/>
    <w:rsid w:val="00E532A9"/>
    <w:rsid w:val="00E53972"/>
    <w:rsid w:val="00E563F1"/>
    <w:rsid w:val="00E569AC"/>
    <w:rsid w:val="00E56CB9"/>
    <w:rsid w:val="00E60694"/>
    <w:rsid w:val="00E63052"/>
    <w:rsid w:val="00E658F5"/>
    <w:rsid w:val="00E676E5"/>
    <w:rsid w:val="00E705BE"/>
    <w:rsid w:val="00E736E9"/>
    <w:rsid w:val="00E77771"/>
    <w:rsid w:val="00E81BCB"/>
    <w:rsid w:val="00E857B0"/>
    <w:rsid w:val="00E9045D"/>
    <w:rsid w:val="00EA2D25"/>
    <w:rsid w:val="00EA388F"/>
    <w:rsid w:val="00EA46B3"/>
    <w:rsid w:val="00EA65D7"/>
    <w:rsid w:val="00EB0470"/>
    <w:rsid w:val="00EB0EE9"/>
    <w:rsid w:val="00EB1B0E"/>
    <w:rsid w:val="00EB2E2F"/>
    <w:rsid w:val="00EB4097"/>
    <w:rsid w:val="00EB7421"/>
    <w:rsid w:val="00EC0C5D"/>
    <w:rsid w:val="00EC2EC2"/>
    <w:rsid w:val="00EC5B6F"/>
    <w:rsid w:val="00EC701B"/>
    <w:rsid w:val="00ED0545"/>
    <w:rsid w:val="00ED0857"/>
    <w:rsid w:val="00ED39B6"/>
    <w:rsid w:val="00ED3F2C"/>
    <w:rsid w:val="00ED69D4"/>
    <w:rsid w:val="00EE4160"/>
    <w:rsid w:val="00EF46D7"/>
    <w:rsid w:val="00F01A27"/>
    <w:rsid w:val="00F07891"/>
    <w:rsid w:val="00F106FA"/>
    <w:rsid w:val="00F163EB"/>
    <w:rsid w:val="00F213DA"/>
    <w:rsid w:val="00F252D0"/>
    <w:rsid w:val="00F26066"/>
    <w:rsid w:val="00F312ED"/>
    <w:rsid w:val="00F331FF"/>
    <w:rsid w:val="00F34EAC"/>
    <w:rsid w:val="00F35677"/>
    <w:rsid w:val="00F35BA9"/>
    <w:rsid w:val="00F37717"/>
    <w:rsid w:val="00F446F1"/>
    <w:rsid w:val="00F51E84"/>
    <w:rsid w:val="00F51EBA"/>
    <w:rsid w:val="00F53863"/>
    <w:rsid w:val="00F57C06"/>
    <w:rsid w:val="00F6697A"/>
    <w:rsid w:val="00F66BF1"/>
    <w:rsid w:val="00F74E70"/>
    <w:rsid w:val="00F7641E"/>
    <w:rsid w:val="00F76C9B"/>
    <w:rsid w:val="00F7760F"/>
    <w:rsid w:val="00F819E7"/>
    <w:rsid w:val="00F83F23"/>
    <w:rsid w:val="00F85FD1"/>
    <w:rsid w:val="00F86EDF"/>
    <w:rsid w:val="00F87116"/>
    <w:rsid w:val="00F93AD8"/>
    <w:rsid w:val="00F959F2"/>
    <w:rsid w:val="00FA187E"/>
    <w:rsid w:val="00FA6ABC"/>
    <w:rsid w:val="00FA7488"/>
    <w:rsid w:val="00FA74FF"/>
    <w:rsid w:val="00FB7087"/>
    <w:rsid w:val="00FB723F"/>
    <w:rsid w:val="00FC19AE"/>
    <w:rsid w:val="00FC40F7"/>
    <w:rsid w:val="00FD0340"/>
    <w:rsid w:val="00FD1BE5"/>
    <w:rsid w:val="00FD412B"/>
    <w:rsid w:val="00FD4331"/>
    <w:rsid w:val="00FD538A"/>
    <w:rsid w:val="00FD6622"/>
    <w:rsid w:val="00FD691A"/>
    <w:rsid w:val="00FD6A02"/>
    <w:rsid w:val="00FE24A2"/>
    <w:rsid w:val="00FE2A1F"/>
    <w:rsid w:val="00FE4F20"/>
    <w:rsid w:val="00FE786B"/>
    <w:rsid w:val="00FE7942"/>
    <w:rsid w:val="00FF0170"/>
    <w:rsid w:val="00FF1769"/>
    <w:rsid w:val="00FF1F92"/>
    <w:rsid w:val="00FF2EC2"/>
    <w:rsid w:val="00FF5BDF"/>
    <w:rsid w:val="00FF5D73"/>
    <w:rsid w:val="00FF66C2"/>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A27C6E-4C02-443D-9811-49A6AE6E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7F85"/>
    <w:pPr>
      <w:spacing w:after="160"/>
      <w:jc w:val="both"/>
      <w:outlineLvl w:val="0"/>
    </w:pPr>
    <w:rPr>
      <w:rFonts w:ascii="BPG Nino Mtavruli" w:hAnsi="BPG Nino Mtavruli" w:cs="BPG Arial"/>
      <w:b/>
      <w:color w:val="002060"/>
      <w:szCs w:val="20"/>
      <w:lang w:val="ka-GE"/>
    </w:rPr>
  </w:style>
  <w:style w:type="paragraph" w:styleId="Heading2">
    <w:name w:val="heading 2"/>
    <w:basedOn w:val="Normal"/>
    <w:next w:val="Normal"/>
    <w:link w:val="Heading2Char"/>
    <w:uiPriority w:val="9"/>
    <w:unhideWhenUsed/>
    <w:qFormat/>
    <w:rsid w:val="006C7F85"/>
    <w:pPr>
      <w:spacing w:before="120" w:after="120" w:line="259" w:lineRule="auto"/>
      <w:jc w:val="both"/>
      <w:outlineLvl w:val="1"/>
    </w:pPr>
    <w:rPr>
      <w:rFonts w:ascii="BPG Nino Mtavruli" w:hAnsi="BPG Nino Mtavruli" w:cs="BPG Arial"/>
      <w:color w:val="002060"/>
      <w:sz w:val="20"/>
      <w:szCs w:val="20"/>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4F5"/>
    <w:rPr>
      <w:rFonts w:ascii="Tahoma" w:hAnsi="Tahoma" w:cs="Tahoma"/>
      <w:sz w:val="16"/>
      <w:szCs w:val="16"/>
    </w:rPr>
  </w:style>
  <w:style w:type="character" w:customStyle="1" w:styleId="apple-converted-space">
    <w:name w:val="apple-converted-space"/>
    <w:basedOn w:val="DefaultParagraphFont"/>
    <w:rsid w:val="00CC46C4"/>
  </w:style>
  <w:style w:type="paragraph" w:styleId="NormalWeb">
    <w:name w:val="Normal (Web)"/>
    <w:basedOn w:val="Normal"/>
    <w:uiPriority w:val="99"/>
    <w:semiHidden/>
    <w:unhideWhenUsed/>
    <w:rsid w:val="0071317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bzacixmlChar">
    <w:name w:val="abzaci_xml Char"/>
    <w:link w:val="abzacixml"/>
    <w:uiPriority w:val="99"/>
    <w:locked/>
    <w:rsid w:val="00D47CCE"/>
    <w:rPr>
      <w:rFonts w:ascii="Sylfaen" w:hAnsi="Sylfaen"/>
      <w:sz w:val="24"/>
      <w:szCs w:val="24"/>
      <w:lang w:val="x-none" w:eastAsia="x-none"/>
    </w:rPr>
  </w:style>
  <w:style w:type="paragraph" w:customStyle="1" w:styleId="abzacixml">
    <w:name w:val="abzaci_xml"/>
    <w:basedOn w:val="PlainText"/>
    <w:link w:val="abzacixmlChar"/>
    <w:autoRedefine/>
    <w:uiPriority w:val="99"/>
    <w:rsid w:val="00D47CCE"/>
    <w:pPr>
      <w:ind w:firstLine="630"/>
      <w:jc w:val="both"/>
    </w:pPr>
    <w:rPr>
      <w:rFonts w:ascii="Sylfaen" w:hAnsi="Sylfaen" w:cstheme="minorBidi"/>
      <w:sz w:val="24"/>
      <w:szCs w:val="24"/>
      <w:lang w:val="x-none" w:eastAsia="x-none"/>
    </w:rPr>
  </w:style>
  <w:style w:type="paragraph" w:styleId="PlainText">
    <w:name w:val="Plain Text"/>
    <w:basedOn w:val="Normal"/>
    <w:link w:val="PlainTextChar"/>
    <w:uiPriority w:val="99"/>
    <w:semiHidden/>
    <w:unhideWhenUsed/>
    <w:rsid w:val="00D47CC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47CCE"/>
    <w:rPr>
      <w:rFonts w:ascii="Consolas" w:hAnsi="Consolas" w:cs="Consolas"/>
      <w:sz w:val="21"/>
      <w:szCs w:val="21"/>
    </w:rPr>
  </w:style>
  <w:style w:type="table" w:styleId="TableGrid">
    <w:name w:val="Table Grid"/>
    <w:basedOn w:val="TableNormal"/>
    <w:uiPriority w:val="59"/>
    <w:rsid w:val="00E65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0B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0BED"/>
    <w:rPr>
      <w:sz w:val="20"/>
      <w:szCs w:val="20"/>
    </w:rPr>
  </w:style>
  <w:style w:type="character" w:styleId="FootnoteReference">
    <w:name w:val="footnote reference"/>
    <w:basedOn w:val="DefaultParagraphFont"/>
    <w:uiPriority w:val="99"/>
    <w:semiHidden/>
    <w:unhideWhenUsed/>
    <w:rsid w:val="00400BED"/>
    <w:rPr>
      <w:vertAlign w:val="superscript"/>
    </w:rPr>
  </w:style>
  <w:style w:type="paragraph" w:styleId="Header">
    <w:name w:val="header"/>
    <w:basedOn w:val="Normal"/>
    <w:link w:val="HeaderChar"/>
    <w:uiPriority w:val="99"/>
    <w:unhideWhenUsed/>
    <w:rsid w:val="0040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BED"/>
  </w:style>
  <w:style w:type="paragraph" w:styleId="Footer">
    <w:name w:val="footer"/>
    <w:basedOn w:val="Normal"/>
    <w:link w:val="FooterChar"/>
    <w:uiPriority w:val="99"/>
    <w:unhideWhenUsed/>
    <w:rsid w:val="0040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BED"/>
  </w:style>
  <w:style w:type="character" w:styleId="Hyperlink">
    <w:name w:val="Hyperlink"/>
    <w:basedOn w:val="DefaultParagraphFont"/>
    <w:uiPriority w:val="99"/>
    <w:unhideWhenUsed/>
    <w:rsid w:val="00B7509F"/>
    <w:rPr>
      <w:color w:val="0000FF" w:themeColor="hyperlink"/>
      <w:u w:val="single"/>
    </w:rPr>
  </w:style>
  <w:style w:type="paragraph" w:styleId="ListParagraph">
    <w:name w:val="List Paragraph"/>
    <w:basedOn w:val="Normal"/>
    <w:uiPriority w:val="34"/>
    <w:qFormat/>
    <w:rsid w:val="00CE5649"/>
    <w:pPr>
      <w:ind w:left="720"/>
      <w:contextualSpacing/>
    </w:pPr>
  </w:style>
  <w:style w:type="character" w:styleId="CommentReference">
    <w:name w:val="annotation reference"/>
    <w:basedOn w:val="DefaultParagraphFont"/>
    <w:uiPriority w:val="99"/>
    <w:semiHidden/>
    <w:unhideWhenUsed/>
    <w:rsid w:val="006202AE"/>
    <w:rPr>
      <w:sz w:val="16"/>
      <w:szCs w:val="16"/>
    </w:rPr>
  </w:style>
  <w:style w:type="paragraph" w:styleId="CommentText">
    <w:name w:val="annotation text"/>
    <w:basedOn w:val="Normal"/>
    <w:link w:val="CommentTextChar"/>
    <w:uiPriority w:val="99"/>
    <w:semiHidden/>
    <w:unhideWhenUsed/>
    <w:rsid w:val="006202AE"/>
    <w:pPr>
      <w:spacing w:line="240" w:lineRule="auto"/>
    </w:pPr>
    <w:rPr>
      <w:sz w:val="20"/>
      <w:szCs w:val="20"/>
    </w:rPr>
  </w:style>
  <w:style w:type="character" w:customStyle="1" w:styleId="CommentTextChar">
    <w:name w:val="Comment Text Char"/>
    <w:basedOn w:val="DefaultParagraphFont"/>
    <w:link w:val="CommentText"/>
    <w:uiPriority w:val="99"/>
    <w:semiHidden/>
    <w:rsid w:val="006202AE"/>
    <w:rPr>
      <w:sz w:val="20"/>
      <w:szCs w:val="20"/>
    </w:rPr>
  </w:style>
  <w:style w:type="paragraph" w:styleId="CommentSubject">
    <w:name w:val="annotation subject"/>
    <w:basedOn w:val="CommentText"/>
    <w:next w:val="CommentText"/>
    <w:link w:val="CommentSubjectChar"/>
    <w:uiPriority w:val="99"/>
    <w:semiHidden/>
    <w:unhideWhenUsed/>
    <w:rsid w:val="006202AE"/>
    <w:rPr>
      <w:b/>
      <w:bCs/>
    </w:rPr>
  </w:style>
  <w:style w:type="character" w:customStyle="1" w:styleId="CommentSubjectChar">
    <w:name w:val="Comment Subject Char"/>
    <w:basedOn w:val="CommentTextChar"/>
    <w:link w:val="CommentSubject"/>
    <w:uiPriority w:val="99"/>
    <w:semiHidden/>
    <w:rsid w:val="006202AE"/>
    <w:rPr>
      <w:b/>
      <w:bCs/>
      <w:sz w:val="20"/>
      <w:szCs w:val="20"/>
    </w:rPr>
  </w:style>
  <w:style w:type="table" w:customStyle="1" w:styleId="ListTable1Light-Accent31">
    <w:name w:val="List Table 1 Light - Accent 31"/>
    <w:basedOn w:val="TableNormal"/>
    <w:next w:val="ListTable1Light-Accent3"/>
    <w:uiPriority w:val="46"/>
    <w:rsid w:val="007D79E5"/>
    <w:pPr>
      <w:spacing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3">
    <w:name w:val="List Table 1 Light Accent 3"/>
    <w:basedOn w:val="TableNormal"/>
    <w:uiPriority w:val="46"/>
    <w:rsid w:val="007D79E5"/>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Light">
    <w:name w:val="Grid Table Light"/>
    <w:basedOn w:val="TableNormal"/>
    <w:uiPriority w:val="40"/>
    <w:rsid w:val="009921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Grid4"/>
    <w:uiPriority w:val="99"/>
    <w:rsid w:val="009921E7"/>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PlainTable2">
    <w:name w:val="Plain Table 2"/>
    <w:basedOn w:val="TableNormal"/>
    <w:uiPriority w:val="42"/>
    <w:rsid w:val="004347C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4">
    <w:name w:val="Table Grid 4"/>
    <w:basedOn w:val="TableNormal"/>
    <w:uiPriority w:val="99"/>
    <w:semiHidden/>
    <w:unhideWhenUsed/>
    <w:rsid w:val="009921E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9"/>
    <w:rsid w:val="006C7F85"/>
    <w:rPr>
      <w:rFonts w:ascii="BPG Nino Mtavruli" w:hAnsi="BPG Nino Mtavruli" w:cs="BPG Arial"/>
      <w:b/>
      <w:color w:val="002060"/>
      <w:szCs w:val="20"/>
      <w:lang w:val="ka-GE"/>
    </w:rPr>
  </w:style>
  <w:style w:type="character" w:customStyle="1" w:styleId="Heading2Char">
    <w:name w:val="Heading 2 Char"/>
    <w:basedOn w:val="DefaultParagraphFont"/>
    <w:link w:val="Heading2"/>
    <w:uiPriority w:val="9"/>
    <w:rsid w:val="006C7F85"/>
    <w:rPr>
      <w:rFonts w:ascii="BPG Nino Mtavruli" w:hAnsi="BPG Nino Mtavruli" w:cs="BPG Arial"/>
      <w:color w:val="002060"/>
      <w:sz w:val="20"/>
      <w:szCs w:val="20"/>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603">
      <w:bodyDiv w:val="1"/>
      <w:marLeft w:val="0"/>
      <w:marRight w:val="0"/>
      <w:marTop w:val="0"/>
      <w:marBottom w:val="0"/>
      <w:divBdr>
        <w:top w:val="none" w:sz="0" w:space="0" w:color="auto"/>
        <w:left w:val="none" w:sz="0" w:space="0" w:color="auto"/>
        <w:bottom w:val="none" w:sz="0" w:space="0" w:color="auto"/>
        <w:right w:val="none" w:sz="0" w:space="0" w:color="auto"/>
      </w:divBdr>
    </w:div>
    <w:div w:id="13270365">
      <w:bodyDiv w:val="1"/>
      <w:marLeft w:val="0"/>
      <w:marRight w:val="0"/>
      <w:marTop w:val="0"/>
      <w:marBottom w:val="0"/>
      <w:divBdr>
        <w:top w:val="none" w:sz="0" w:space="0" w:color="auto"/>
        <w:left w:val="none" w:sz="0" w:space="0" w:color="auto"/>
        <w:bottom w:val="none" w:sz="0" w:space="0" w:color="auto"/>
        <w:right w:val="none" w:sz="0" w:space="0" w:color="auto"/>
      </w:divBdr>
    </w:div>
    <w:div w:id="38482443">
      <w:bodyDiv w:val="1"/>
      <w:marLeft w:val="0"/>
      <w:marRight w:val="0"/>
      <w:marTop w:val="0"/>
      <w:marBottom w:val="0"/>
      <w:divBdr>
        <w:top w:val="none" w:sz="0" w:space="0" w:color="auto"/>
        <w:left w:val="none" w:sz="0" w:space="0" w:color="auto"/>
        <w:bottom w:val="none" w:sz="0" w:space="0" w:color="auto"/>
        <w:right w:val="none" w:sz="0" w:space="0" w:color="auto"/>
      </w:divBdr>
    </w:div>
    <w:div w:id="39718191">
      <w:bodyDiv w:val="1"/>
      <w:marLeft w:val="0"/>
      <w:marRight w:val="0"/>
      <w:marTop w:val="0"/>
      <w:marBottom w:val="0"/>
      <w:divBdr>
        <w:top w:val="none" w:sz="0" w:space="0" w:color="auto"/>
        <w:left w:val="none" w:sz="0" w:space="0" w:color="auto"/>
        <w:bottom w:val="none" w:sz="0" w:space="0" w:color="auto"/>
        <w:right w:val="none" w:sz="0" w:space="0" w:color="auto"/>
      </w:divBdr>
    </w:div>
    <w:div w:id="45295890">
      <w:bodyDiv w:val="1"/>
      <w:marLeft w:val="0"/>
      <w:marRight w:val="0"/>
      <w:marTop w:val="0"/>
      <w:marBottom w:val="0"/>
      <w:divBdr>
        <w:top w:val="none" w:sz="0" w:space="0" w:color="auto"/>
        <w:left w:val="none" w:sz="0" w:space="0" w:color="auto"/>
        <w:bottom w:val="none" w:sz="0" w:space="0" w:color="auto"/>
        <w:right w:val="none" w:sz="0" w:space="0" w:color="auto"/>
      </w:divBdr>
    </w:div>
    <w:div w:id="70472758">
      <w:bodyDiv w:val="1"/>
      <w:marLeft w:val="0"/>
      <w:marRight w:val="0"/>
      <w:marTop w:val="0"/>
      <w:marBottom w:val="0"/>
      <w:divBdr>
        <w:top w:val="none" w:sz="0" w:space="0" w:color="auto"/>
        <w:left w:val="none" w:sz="0" w:space="0" w:color="auto"/>
        <w:bottom w:val="none" w:sz="0" w:space="0" w:color="auto"/>
        <w:right w:val="none" w:sz="0" w:space="0" w:color="auto"/>
      </w:divBdr>
    </w:div>
    <w:div w:id="81804782">
      <w:bodyDiv w:val="1"/>
      <w:marLeft w:val="0"/>
      <w:marRight w:val="0"/>
      <w:marTop w:val="0"/>
      <w:marBottom w:val="0"/>
      <w:divBdr>
        <w:top w:val="none" w:sz="0" w:space="0" w:color="auto"/>
        <w:left w:val="none" w:sz="0" w:space="0" w:color="auto"/>
        <w:bottom w:val="none" w:sz="0" w:space="0" w:color="auto"/>
        <w:right w:val="none" w:sz="0" w:space="0" w:color="auto"/>
      </w:divBdr>
    </w:div>
    <w:div w:id="84345698">
      <w:bodyDiv w:val="1"/>
      <w:marLeft w:val="0"/>
      <w:marRight w:val="0"/>
      <w:marTop w:val="0"/>
      <w:marBottom w:val="0"/>
      <w:divBdr>
        <w:top w:val="none" w:sz="0" w:space="0" w:color="auto"/>
        <w:left w:val="none" w:sz="0" w:space="0" w:color="auto"/>
        <w:bottom w:val="none" w:sz="0" w:space="0" w:color="auto"/>
        <w:right w:val="none" w:sz="0" w:space="0" w:color="auto"/>
      </w:divBdr>
    </w:div>
    <w:div w:id="91560399">
      <w:bodyDiv w:val="1"/>
      <w:marLeft w:val="0"/>
      <w:marRight w:val="0"/>
      <w:marTop w:val="0"/>
      <w:marBottom w:val="0"/>
      <w:divBdr>
        <w:top w:val="none" w:sz="0" w:space="0" w:color="auto"/>
        <w:left w:val="none" w:sz="0" w:space="0" w:color="auto"/>
        <w:bottom w:val="none" w:sz="0" w:space="0" w:color="auto"/>
        <w:right w:val="none" w:sz="0" w:space="0" w:color="auto"/>
      </w:divBdr>
    </w:div>
    <w:div w:id="92551396">
      <w:bodyDiv w:val="1"/>
      <w:marLeft w:val="0"/>
      <w:marRight w:val="0"/>
      <w:marTop w:val="0"/>
      <w:marBottom w:val="0"/>
      <w:divBdr>
        <w:top w:val="none" w:sz="0" w:space="0" w:color="auto"/>
        <w:left w:val="none" w:sz="0" w:space="0" w:color="auto"/>
        <w:bottom w:val="none" w:sz="0" w:space="0" w:color="auto"/>
        <w:right w:val="none" w:sz="0" w:space="0" w:color="auto"/>
      </w:divBdr>
    </w:div>
    <w:div w:id="107506585">
      <w:bodyDiv w:val="1"/>
      <w:marLeft w:val="0"/>
      <w:marRight w:val="0"/>
      <w:marTop w:val="0"/>
      <w:marBottom w:val="0"/>
      <w:divBdr>
        <w:top w:val="none" w:sz="0" w:space="0" w:color="auto"/>
        <w:left w:val="none" w:sz="0" w:space="0" w:color="auto"/>
        <w:bottom w:val="none" w:sz="0" w:space="0" w:color="auto"/>
        <w:right w:val="none" w:sz="0" w:space="0" w:color="auto"/>
      </w:divBdr>
    </w:div>
    <w:div w:id="107700949">
      <w:bodyDiv w:val="1"/>
      <w:marLeft w:val="0"/>
      <w:marRight w:val="0"/>
      <w:marTop w:val="0"/>
      <w:marBottom w:val="0"/>
      <w:divBdr>
        <w:top w:val="none" w:sz="0" w:space="0" w:color="auto"/>
        <w:left w:val="none" w:sz="0" w:space="0" w:color="auto"/>
        <w:bottom w:val="none" w:sz="0" w:space="0" w:color="auto"/>
        <w:right w:val="none" w:sz="0" w:space="0" w:color="auto"/>
      </w:divBdr>
    </w:div>
    <w:div w:id="109592935">
      <w:bodyDiv w:val="1"/>
      <w:marLeft w:val="0"/>
      <w:marRight w:val="0"/>
      <w:marTop w:val="0"/>
      <w:marBottom w:val="0"/>
      <w:divBdr>
        <w:top w:val="none" w:sz="0" w:space="0" w:color="auto"/>
        <w:left w:val="none" w:sz="0" w:space="0" w:color="auto"/>
        <w:bottom w:val="none" w:sz="0" w:space="0" w:color="auto"/>
        <w:right w:val="none" w:sz="0" w:space="0" w:color="auto"/>
      </w:divBdr>
    </w:div>
    <w:div w:id="120731027">
      <w:bodyDiv w:val="1"/>
      <w:marLeft w:val="0"/>
      <w:marRight w:val="0"/>
      <w:marTop w:val="0"/>
      <w:marBottom w:val="0"/>
      <w:divBdr>
        <w:top w:val="none" w:sz="0" w:space="0" w:color="auto"/>
        <w:left w:val="none" w:sz="0" w:space="0" w:color="auto"/>
        <w:bottom w:val="none" w:sz="0" w:space="0" w:color="auto"/>
        <w:right w:val="none" w:sz="0" w:space="0" w:color="auto"/>
      </w:divBdr>
    </w:div>
    <w:div w:id="128255595">
      <w:bodyDiv w:val="1"/>
      <w:marLeft w:val="0"/>
      <w:marRight w:val="0"/>
      <w:marTop w:val="0"/>
      <w:marBottom w:val="0"/>
      <w:divBdr>
        <w:top w:val="none" w:sz="0" w:space="0" w:color="auto"/>
        <w:left w:val="none" w:sz="0" w:space="0" w:color="auto"/>
        <w:bottom w:val="none" w:sz="0" w:space="0" w:color="auto"/>
        <w:right w:val="none" w:sz="0" w:space="0" w:color="auto"/>
      </w:divBdr>
    </w:div>
    <w:div w:id="128327210">
      <w:bodyDiv w:val="1"/>
      <w:marLeft w:val="0"/>
      <w:marRight w:val="0"/>
      <w:marTop w:val="0"/>
      <w:marBottom w:val="0"/>
      <w:divBdr>
        <w:top w:val="none" w:sz="0" w:space="0" w:color="auto"/>
        <w:left w:val="none" w:sz="0" w:space="0" w:color="auto"/>
        <w:bottom w:val="none" w:sz="0" w:space="0" w:color="auto"/>
        <w:right w:val="none" w:sz="0" w:space="0" w:color="auto"/>
      </w:divBdr>
    </w:div>
    <w:div w:id="133108790">
      <w:bodyDiv w:val="1"/>
      <w:marLeft w:val="0"/>
      <w:marRight w:val="0"/>
      <w:marTop w:val="0"/>
      <w:marBottom w:val="0"/>
      <w:divBdr>
        <w:top w:val="none" w:sz="0" w:space="0" w:color="auto"/>
        <w:left w:val="none" w:sz="0" w:space="0" w:color="auto"/>
        <w:bottom w:val="none" w:sz="0" w:space="0" w:color="auto"/>
        <w:right w:val="none" w:sz="0" w:space="0" w:color="auto"/>
      </w:divBdr>
    </w:div>
    <w:div w:id="190414254">
      <w:bodyDiv w:val="1"/>
      <w:marLeft w:val="0"/>
      <w:marRight w:val="0"/>
      <w:marTop w:val="0"/>
      <w:marBottom w:val="0"/>
      <w:divBdr>
        <w:top w:val="none" w:sz="0" w:space="0" w:color="auto"/>
        <w:left w:val="none" w:sz="0" w:space="0" w:color="auto"/>
        <w:bottom w:val="none" w:sz="0" w:space="0" w:color="auto"/>
        <w:right w:val="none" w:sz="0" w:space="0" w:color="auto"/>
      </w:divBdr>
    </w:div>
    <w:div w:id="198781071">
      <w:bodyDiv w:val="1"/>
      <w:marLeft w:val="0"/>
      <w:marRight w:val="0"/>
      <w:marTop w:val="0"/>
      <w:marBottom w:val="0"/>
      <w:divBdr>
        <w:top w:val="none" w:sz="0" w:space="0" w:color="auto"/>
        <w:left w:val="none" w:sz="0" w:space="0" w:color="auto"/>
        <w:bottom w:val="none" w:sz="0" w:space="0" w:color="auto"/>
        <w:right w:val="none" w:sz="0" w:space="0" w:color="auto"/>
      </w:divBdr>
    </w:div>
    <w:div w:id="228346145">
      <w:bodyDiv w:val="1"/>
      <w:marLeft w:val="0"/>
      <w:marRight w:val="0"/>
      <w:marTop w:val="0"/>
      <w:marBottom w:val="0"/>
      <w:divBdr>
        <w:top w:val="none" w:sz="0" w:space="0" w:color="auto"/>
        <w:left w:val="none" w:sz="0" w:space="0" w:color="auto"/>
        <w:bottom w:val="none" w:sz="0" w:space="0" w:color="auto"/>
        <w:right w:val="none" w:sz="0" w:space="0" w:color="auto"/>
      </w:divBdr>
    </w:div>
    <w:div w:id="235894200">
      <w:bodyDiv w:val="1"/>
      <w:marLeft w:val="0"/>
      <w:marRight w:val="0"/>
      <w:marTop w:val="0"/>
      <w:marBottom w:val="0"/>
      <w:divBdr>
        <w:top w:val="none" w:sz="0" w:space="0" w:color="auto"/>
        <w:left w:val="none" w:sz="0" w:space="0" w:color="auto"/>
        <w:bottom w:val="none" w:sz="0" w:space="0" w:color="auto"/>
        <w:right w:val="none" w:sz="0" w:space="0" w:color="auto"/>
      </w:divBdr>
    </w:div>
    <w:div w:id="238560681">
      <w:bodyDiv w:val="1"/>
      <w:marLeft w:val="0"/>
      <w:marRight w:val="0"/>
      <w:marTop w:val="0"/>
      <w:marBottom w:val="0"/>
      <w:divBdr>
        <w:top w:val="none" w:sz="0" w:space="0" w:color="auto"/>
        <w:left w:val="none" w:sz="0" w:space="0" w:color="auto"/>
        <w:bottom w:val="none" w:sz="0" w:space="0" w:color="auto"/>
        <w:right w:val="none" w:sz="0" w:space="0" w:color="auto"/>
      </w:divBdr>
    </w:div>
    <w:div w:id="279730347">
      <w:bodyDiv w:val="1"/>
      <w:marLeft w:val="0"/>
      <w:marRight w:val="0"/>
      <w:marTop w:val="0"/>
      <w:marBottom w:val="0"/>
      <w:divBdr>
        <w:top w:val="none" w:sz="0" w:space="0" w:color="auto"/>
        <w:left w:val="none" w:sz="0" w:space="0" w:color="auto"/>
        <w:bottom w:val="none" w:sz="0" w:space="0" w:color="auto"/>
        <w:right w:val="none" w:sz="0" w:space="0" w:color="auto"/>
      </w:divBdr>
    </w:div>
    <w:div w:id="296112734">
      <w:bodyDiv w:val="1"/>
      <w:marLeft w:val="0"/>
      <w:marRight w:val="0"/>
      <w:marTop w:val="0"/>
      <w:marBottom w:val="0"/>
      <w:divBdr>
        <w:top w:val="none" w:sz="0" w:space="0" w:color="auto"/>
        <w:left w:val="none" w:sz="0" w:space="0" w:color="auto"/>
        <w:bottom w:val="none" w:sz="0" w:space="0" w:color="auto"/>
        <w:right w:val="none" w:sz="0" w:space="0" w:color="auto"/>
      </w:divBdr>
    </w:div>
    <w:div w:id="348483070">
      <w:bodyDiv w:val="1"/>
      <w:marLeft w:val="0"/>
      <w:marRight w:val="0"/>
      <w:marTop w:val="0"/>
      <w:marBottom w:val="0"/>
      <w:divBdr>
        <w:top w:val="none" w:sz="0" w:space="0" w:color="auto"/>
        <w:left w:val="none" w:sz="0" w:space="0" w:color="auto"/>
        <w:bottom w:val="none" w:sz="0" w:space="0" w:color="auto"/>
        <w:right w:val="none" w:sz="0" w:space="0" w:color="auto"/>
      </w:divBdr>
    </w:div>
    <w:div w:id="368455410">
      <w:bodyDiv w:val="1"/>
      <w:marLeft w:val="0"/>
      <w:marRight w:val="0"/>
      <w:marTop w:val="0"/>
      <w:marBottom w:val="0"/>
      <w:divBdr>
        <w:top w:val="none" w:sz="0" w:space="0" w:color="auto"/>
        <w:left w:val="none" w:sz="0" w:space="0" w:color="auto"/>
        <w:bottom w:val="none" w:sz="0" w:space="0" w:color="auto"/>
        <w:right w:val="none" w:sz="0" w:space="0" w:color="auto"/>
      </w:divBdr>
    </w:div>
    <w:div w:id="373191032">
      <w:bodyDiv w:val="1"/>
      <w:marLeft w:val="0"/>
      <w:marRight w:val="0"/>
      <w:marTop w:val="0"/>
      <w:marBottom w:val="0"/>
      <w:divBdr>
        <w:top w:val="none" w:sz="0" w:space="0" w:color="auto"/>
        <w:left w:val="none" w:sz="0" w:space="0" w:color="auto"/>
        <w:bottom w:val="none" w:sz="0" w:space="0" w:color="auto"/>
        <w:right w:val="none" w:sz="0" w:space="0" w:color="auto"/>
      </w:divBdr>
    </w:div>
    <w:div w:id="376592029">
      <w:bodyDiv w:val="1"/>
      <w:marLeft w:val="0"/>
      <w:marRight w:val="0"/>
      <w:marTop w:val="0"/>
      <w:marBottom w:val="0"/>
      <w:divBdr>
        <w:top w:val="none" w:sz="0" w:space="0" w:color="auto"/>
        <w:left w:val="none" w:sz="0" w:space="0" w:color="auto"/>
        <w:bottom w:val="none" w:sz="0" w:space="0" w:color="auto"/>
        <w:right w:val="none" w:sz="0" w:space="0" w:color="auto"/>
      </w:divBdr>
    </w:div>
    <w:div w:id="380665815">
      <w:bodyDiv w:val="1"/>
      <w:marLeft w:val="0"/>
      <w:marRight w:val="0"/>
      <w:marTop w:val="0"/>
      <w:marBottom w:val="0"/>
      <w:divBdr>
        <w:top w:val="none" w:sz="0" w:space="0" w:color="auto"/>
        <w:left w:val="none" w:sz="0" w:space="0" w:color="auto"/>
        <w:bottom w:val="none" w:sz="0" w:space="0" w:color="auto"/>
        <w:right w:val="none" w:sz="0" w:space="0" w:color="auto"/>
      </w:divBdr>
    </w:div>
    <w:div w:id="385493181">
      <w:bodyDiv w:val="1"/>
      <w:marLeft w:val="0"/>
      <w:marRight w:val="0"/>
      <w:marTop w:val="0"/>
      <w:marBottom w:val="0"/>
      <w:divBdr>
        <w:top w:val="none" w:sz="0" w:space="0" w:color="auto"/>
        <w:left w:val="none" w:sz="0" w:space="0" w:color="auto"/>
        <w:bottom w:val="none" w:sz="0" w:space="0" w:color="auto"/>
        <w:right w:val="none" w:sz="0" w:space="0" w:color="auto"/>
      </w:divBdr>
    </w:div>
    <w:div w:id="391395697">
      <w:bodyDiv w:val="1"/>
      <w:marLeft w:val="0"/>
      <w:marRight w:val="0"/>
      <w:marTop w:val="0"/>
      <w:marBottom w:val="0"/>
      <w:divBdr>
        <w:top w:val="none" w:sz="0" w:space="0" w:color="auto"/>
        <w:left w:val="none" w:sz="0" w:space="0" w:color="auto"/>
        <w:bottom w:val="none" w:sz="0" w:space="0" w:color="auto"/>
        <w:right w:val="none" w:sz="0" w:space="0" w:color="auto"/>
      </w:divBdr>
    </w:div>
    <w:div w:id="419719428">
      <w:bodyDiv w:val="1"/>
      <w:marLeft w:val="0"/>
      <w:marRight w:val="0"/>
      <w:marTop w:val="0"/>
      <w:marBottom w:val="0"/>
      <w:divBdr>
        <w:top w:val="none" w:sz="0" w:space="0" w:color="auto"/>
        <w:left w:val="none" w:sz="0" w:space="0" w:color="auto"/>
        <w:bottom w:val="none" w:sz="0" w:space="0" w:color="auto"/>
        <w:right w:val="none" w:sz="0" w:space="0" w:color="auto"/>
      </w:divBdr>
    </w:div>
    <w:div w:id="430901115">
      <w:bodyDiv w:val="1"/>
      <w:marLeft w:val="0"/>
      <w:marRight w:val="0"/>
      <w:marTop w:val="0"/>
      <w:marBottom w:val="0"/>
      <w:divBdr>
        <w:top w:val="none" w:sz="0" w:space="0" w:color="auto"/>
        <w:left w:val="none" w:sz="0" w:space="0" w:color="auto"/>
        <w:bottom w:val="none" w:sz="0" w:space="0" w:color="auto"/>
        <w:right w:val="none" w:sz="0" w:space="0" w:color="auto"/>
      </w:divBdr>
    </w:div>
    <w:div w:id="437484784">
      <w:bodyDiv w:val="1"/>
      <w:marLeft w:val="0"/>
      <w:marRight w:val="0"/>
      <w:marTop w:val="0"/>
      <w:marBottom w:val="0"/>
      <w:divBdr>
        <w:top w:val="none" w:sz="0" w:space="0" w:color="auto"/>
        <w:left w:val="none" w:sz="0" w:space="0" w:color="auto"/>
        <w:bottom w:val="none" w:sz="0" w:space="0" w:color="auto"/>
        <w:right w:val="none" w:sz="0" w:space="0" w:color="auto"/>
      </w:divBdr>
    </w:div>
    <w:div w:id="517433278">
      <w:bodyDiv w:val="1"/>
      <w:marLeft w:val="0"/>
      <w:marRight w:val="0"/>
      <w:marTop w:val="0"/>
      <w:marBottom w:val="0"/>
      <w:divBdr>
        <w:top w:val="none" w:sz="0" w:space="0" w:color="auto"/>
        <w:left w:val="none" w:sz="0" w:space="0" w:color="auto"/>
        <w:bottom w:val="none" w:sz="0" w:space="0" w:color="auto"/>
        <w:right w:val="none" w:sz="0" w:space="0" w:color="auto"/>
      </w:divBdr>
    </w:div>
    <w:div w:id="521018237">
      <w:bodyDiv w:val="1"/>
      <w:marLeft w:val="0"/>
      <w:marRight w:val="0"/>
      <w:marTop w:val="0"/>
      <w:marBottom w:val="0"/>
      <w:divBdr>
        <w:top w:val="none" w:sz="0" w:space="0" w:color="auto"/>
        <w:left w:val="none" w:sz="0" w:space="0" w:color="auto"/>
        <w:bottom w:val="none" w:sz="0" w:space="0" w:color="auto"/>
        <w:right w:val="none" w:sz="0" w:space="0" w:color="auto"/>
      </w:divBdr>
    </w:div>
    <w:div w:id="530530805">
      <w:bodyDiv w:val="1"/>
      <w:marLeft w:val="0"/>
      <w:marRight w:val="0"/>
      <w:marTop w:val="0"/>
      <w:marBottom w:val="0"/>
      <w:divBdr>
        <w:top w:val="none" w:sz="0" w:space="0" w:color="auto"/>
        <w:left w:val="none" w:sz="0" w:space="0" w:color="auto"/>
        <w:bottom w:val="none" w:sz="0" w:space="0" w:color="auto"/>
        <w:right w:val="none" w:sz="0" w:space="0" w:color="auto"/>
      </w:divBdr>
    </w:div>
    <w:div w:id="551695652">
      <w:bodyDiv w:val="1"/>
      <w:marLeft w:val="0"/>
      <w:marRight w:val="0"/>
      <w:marTop w:val="0"/>
      <w:marBottom w:val="0"/>
      <w:divBdr>
        <w:top w:val="none" w:sz="0" w:space="0" w:color="auto"/>
        <w:left w:val="none" w:sz="0" w:space="0" w:color="auto"/>
        <w:bottom w:val="none" w:sz="0" w:space="0" w:color="auto"/>
        <w:right w:val="none" w:sz="0" w:space="0" w:color="auto"/>
      </w:divBdr>
    </w:div>
    <w:div w:id="560794644">
      <w:bodyDiv w:val="1"/>
      <w:marLeft w:val="0"/>
      <w:marRight w:val="0"/>
      <w:marTop w:val="0"/>
      <w:marBottom w:val="0"/>
      <w:divBdr>
        <w:top w:val="none" w:sz="0" w:space="0" w:color="auto"/>
        <w:left w:val="none" w:sz="0" w:space="0" w:color="auto"/>
        <w:bottom w:val="none" w:sz="0" w:space="0" w:color="auto"/>
        <w:right w:val="none" w:sz="0" w:space="0" w:color="auto"/>
      </w:divBdr>
    </w:div>
    <w:div w:id="586426232">
      <w:bodyDiv w:val="1"/>
      <w:marLeft w:val="0"/>
      <w:marRight w:val="0"/>
      <w:marTop w:val="0"/>
      <w:marBottom w:val="0"/>
      <w:divBdr>
        <w:top w:val="none" w:sz="0" w:space="0" w:color="auto"/>
        <w:left w:val="none" w:sz="0" w:space="0" w:color="auto"/>
        <w:bottom w:val="none" w:sz="0" w:space="0" w:color="auto"/>
        <w:right w:val="none" w:sz="0" w:space="0" w:color="auto"/>
      </w:divBdr>
    </w:div>
    <w:div w:id="626357030">
      <w:bodyDiv w:val="1"/>
      <w:marLeft w:val="0"/>
      <w:marRight w:val="0"/>
      <w:marTop w:val="0"/>
      <w:marBottom w:val="0"/>
      <w:divBdr>
        <w:top w:val="none" w:sz="0" w:space="0" w:color="auto"/>
        <w:left w:val="none" w:sz="0" w:space="0" w:color="auto"/>
        <w:bottom w:val="none" w:sz="0" w:space="0" w:color="auto"/>
        <w:right w:val="none" w:sz="0" w:space="0" w:color="auto"/>
      </w:divBdr>
    </w:div>
    <w:div w:id="637077639">
      <w:bodyDiv w:val="1"/>
      <w:marLeft w:val="0"/>
      <w:marRight w:val="0"/>
      <w:marTop w:val="0"/>
      <w:marBottom w:val="0"/>
      <w:divBdr>
        <w:top w:val="none" w:sz="0" w:space="0" w:color="auto"/>
        <w:left w:val="none" w:sz="0" w:space="0" w:color="auto"/>
        <w:bottom w:val="none" w:sz="0" w:space="0" w:color="auto"/>
        <w:right w:val="none" w:sz="0" w:space="0" w:color="auto"/>
      </w:divBdr>
    </w:div>
    <w:div w:id="650133187">
      <w:bodyDiv w:val="1"/>
      <w:marLeft w:val="0"/>
      <w:marRight w:val="0"/>
      <w:marTop w:val="0"/>
      <w:marBottom w:val="0"/>
      <w:divBdr>
        <w:top w:val="none" w:sz="0" w:space="0" w:color="auto"/>
        <w:left w:val="none" w:sz="0" w:space="0" w:color="auto"/>
        <w:bottom w:val="none" w:sz="0" w:space="0" w:color="auto"/>
        <w:right w:val="none" w:sz="0" w:space="0" w:color="auto"/>
      </w:divBdr>
    </w:div>
    <w:div w:id="696151714">
      <w:bodyDiv w:val="1"/>
      <w:marLeft w:val="0"/>
      <w:marRight w:val="0"/>
      <w:marTop w:val="0"/>
      <w:marBottom w:val="0"/>
      <w:divBdr>
        <w:top w:val="none" w:sz="0" w:space="0" w:color="auto"/>
        <w:left w:val="none" w:sz="0" w:space="0" w:color="auto"/>
        <w:bottom w:val="none" w:sz="0" w:space="0" w:color="auto"/>
        <w:right w:val="none" w:sz="0" w:space="0" w:color="auto"/>
      </w:divBdr>
    </w:div>
    <w:div w:id="698817388">
      <w:bodyDiv w:val="1"/>
      <w:marLeft w:val="0"/>
      <w:marRight w:val="0"/>
      <w:marTop w:val="0"/>
      <w:marBottom w:val="0"/>
      <w:divBdr>
        <w:top w:val="none" w:sz="0" w:space="0" w:color="auto"/>
        <w:left w:val="none" w:sz="0" w:space="0" w:color="auto"/>
        <w:bottom w:val="none" w:sz="0" w:space="0" w:color="auto"/>
        <w:right w:val="none" w:sz="0" w:space="0" w:color="auto"/>
      </w:divBdr>
    </w:div>
    <w:div w:id="713500856">
      <w:bodyDiv w:val="1"/>
      <w:marLeft w:val="0"/>
      <w:marRight w:val="0"/>
      <w:marTop w:val="0"/>
      <w:marBottom w:val="0"/>
      <w:divBdr>
        <w:top w:val="none" w:sz="0" w:space="0" w:color="auto"/>
        <w:left w:val="none" w:sz="0" w:space="0" w:color="auto"/>
        <w:bottom w:val="none" w:sz="0" w:space="0" w:color="auto"/>
        <w:right w:val="none" w:sz="0" w:space="0" w:color="auto"/>
      </w:divBdr>
    </w:div>
    <w:div w:id="752094645">
      <w:bodyDiv w:val="1"/>
      <w:marLeft w:val="0"/>
      <w:marRight w:val="0"/>
      <w:marTop w:val="0"/>
      <w:marBottom w:val="0"/>
      <w:divBdr>
        <w:top w:val="none" w:sz="0" w:space="0" w:color="auto"/>
        <w:left w:val="none" w:sz="0" w:space="0" w:color="auto"/>
        <w:bottom w:val="none" w:sz="0" w:space="0" w:color="auto"/>
        <w:right w:val="none" w:sz="0" w:space="0" w:color="auto"/>
      </w:divBdr>
    </w:div>
    <w:div w:id="817576040">
      <w:bodyDiv w:val="1"/>
      <w:marLeft w:val="0"/>
      <w:marRight w:val="0"/>
      <w:marTop w:val="0"/>
      <w:marBottom w:val="0"/>
      <w:divBdr>
        <w:top w:val="none" w:sz="0" w:space="0" w:color="auto"/>
        <w:left w:val="none" w:sz="0" w:space="0" w:color="auto"/>
        <w:bottom w:val="none" w:sz="0" w:space="0" w:color="auto"/>
        <w:right w:val="none" w:sz="0" w:space="0" w:color="auto"/>
      </w:divBdr>
    </w:div>
    <w:div w:id="837844136">
      <w:bodyDiv w:val="1"/>
      <w:marLeft w:val="0"/>
      <w:marRight w:val="0"/>
      <w:marTop w:val="0"/>
      <w:marBottom w:val="0"/>
      <w:divBdr>
        <w:top w:val="none" w:sz="0" w:space="0" w:color="auto"/>
        <w:left w:val="none" w:sz="0" w:space="0" w:color="auto"/>
        <w:bottom w:val="none" w:sz="0" w:space="0" w:color="auto"/>
        <w:right w:val="none" w:sz="0" w:space="0" w:color="auto"/>
      </w:divBdr>
    </w:div>
    <w:div w:id="840463287">
      <w:bodyDiv w:val="1"/>
      <w:marLeft w:val="0"/>
      <w:marRight w:val="0"/>
      <w:marTop w:val="0"/>
      <w:marBottom w:val="0"/>
      <w:divBdr>
        <w:top w:val="none" w:sz="0" w:space="0" w:color="auto"/>
        <w:left w:val="none" w:sz="0" w:space="0" w:color="auto"/>
        <w:bottom w:val="none" w:sz="0" w:space="0" w:color="auto"/>
        <w:right w:val="none" w:sz="0" w:space="0" w:color="auto"/>
      </w:divBdr>
    </w:div>
    <w:div w:id="885944305">
      <w:bodyDiv w:val="1"/>
      <w:marLeft w:val="0"/>
      <w:marRight w:val="0"/>
      <w:marTop w:val="0"/>
      <w:marBottom w:val="0"/>
      <w:divBdr>
        <w:top w:val="none" w:sz="0" w:space="0" w:color="auto"/>
        <w:left w:val="none" w:sz="0" w:space="0" w:color="auto"/>
        <w:bottom w:val="none" w:sz="0" w:space="0" w:color="auto"/>
        <w:right w:val="none" w:sz="0" w:space="0" w:color="auto"/>
      </w:divBdr>
    </w:div>
    <w:div w:id="902790690">
      <w:bodyDiv w:val="1"/>
      <w:marLeft w:val="0"/>
      <w:marRight w:val="0"/>
      <w:marTop w:val="0"/>
      <w:marBottom w:val="0"/>
      <w:divBdr>
        <w:top w:val="none" w:sz="0" w:space="0" w:color="auto"/>
        <w:left w:val="none" w:sz="0" w:space="0" w:color="auto"/>
        <w:bottom w:val="none" w:sz="0" w:space="0" w:color="auto"/>
        <w:right w:val="none" w:sz="0" w:space="0" w:color="auto"/>
      </w:divBdr>
    </w:div>
    <w:div w:id="913777664">
      <w:bodyDiv w:val="1"/>
      <w:marLeft w:val="0"/>
      <w:marRight w:val="0"/>
      <w:marTop w:val="0"/>
      <w:marBottom w:val="0"/>
      <w:divBdr>
        <w:top w:val="none" w:sz="0" w:space="0" w:color="auto"/>
        <w:left w:val="none" w:sz="0" w:space="0" w:color="auto"/>
        <w:bottom w:val="none" w:sz="0" w:space="0" w:color="auto"/>
        <w:right w:val="none" w:sz="0" w:space="0" w:color="auto"/>
      </w:divBdr>
    </w:div>
    <w:div w:id="938833408">
      <w:bodyDiv w:val="1"/>
      <w:marLeft w:val="0"/>
      <w:marRight w:val="0"/>
      <w:marTop w:val="0"/>
      <w:marBottom w:val="0"/>
      <w:divBdr>
        <w:top w:val="none" w:sz="0" w:space="0" w:color="auto"/>
        <w:left w:val="none" w:sz="0" w:space="0" w:color="auto"/>
        <w:bottom w:val="none" w:sz="0" w:space="0" w:color="auto"/>
        <w:right w:val="none" w:sz="0" w:space="0" w:color="auto"/>
      </w:divBdr>
    </w:div>
    <w:div w:id="939141778">
      <w:bodyDiv w:val="1"/>
      <w:marLeft w:val="0"/>
      <w:marRight w:val="0"/>
      <w:marTop w:val="0"/>
      <w:marBottom w:val="0"/>
      <w:divBdr>
        <w:top w:val="none" w:sz="0" w:space="0" w:color="auto"/>
        <w:left w:val="none" w:sz="0" w:space="0" w:color="auto"/>
        <w:bottom w:val="none" w:sz="0" w:space="0" w:color="auto"/>
        <w:right w:val="none" w:sz="0" w:space="0" w:color="auto"/>
      </w:divBdr>
    </w:div>
    <w:div w:id="951664253">
      <w:bodyDiv w:val="1"/>
      <w:marLeft w:val="0"/>
      <w:marRight w:val="0"/>
      <w:marTop w:val="0"/>
      <w:marBottom w:val="0"/>
      <w:divBdr>
        <w:top w:val="none" w:sz="0" w:space="0" w:color="auto"/>
        <w:left w:val="none" w:sz="0" w:space="0" w:color="auto"/>
        <w:bottom w:val="none" w:sz="0" w:space="0" w:color="auto"/>
        <w:right w:val="none" w:sz="0" w:space="0" w:color="auto"/>
      </w:divBdr>
    </w:div>
    <w:div w:id="952708194">
      <w:bodyDiv w:val="1"/>
      <w:marLeft w:val="0"/>
      <w:marRight w:val="0"/>
      <w:marTop w:val="0"/>
      <w:marBottom w:val="0"/>
      <w:divBdr>
        <w:top w:val="none" w:sz="0" w:space="0" w:color="auto"/>
        <w:left w:val="none" w:sz="0" w:space="0" w:color="auto"/>
        <w:bottom w:val="none" w:sz="0" w:space="0" w:color="auto"/>
        <w:right w:val="none" w:sz="0" w:space="0" w:color="auto"/>
      </w:divBdr>
    </w:div>
    <w:div w:id="969748437">
      <w:bodyDiv w:val="1"/>
      <w:marLeft w:val="0"/>
      <w:marRight w:val="0"/>
      <w:marTop w:val="0"/>
      <w:marBottom w:val="0"/>
      <w:divBdr>
        <w:top w:val="none" w:sz="0" w:space="0" w:color="auto"/>
        <w:left w:val="none" w:sz="0" w:space="0" w:color="auto"/>
        <w:bottom w:val="none" w:sz="0" w:space="0" w:color="auto"/>
        <w:right w:val="none" w:sz="0" w:space="0" w:color="auto"/>
      </w:divBdr>
    </w:div>
    <w:div w:id="993723468">
      <w:bodyDiv w:val="1"/>
      <w:marLeft w:val="0"/>
      <w:marRight w:val="0"/>
      <w:marTop w:val="0"/>
      <w:marBottom w:val="0"/>
      <w:divBdr>
        <w:top w:val="none" w:sz="0" w:space="0" w:color="auto"/>
        <w:left w:val="none" w:sz="0" w:space="0" w:color="auto"/>
        <w:bottom w:val="none" w:sz="0" w:space="0" w:color="auto"/>
        <w:right w:val="none" w:sz="0" w:space="0" w:color="auto"/>
      </w:divBdr>
    </w:div>
    <w:div w:id="998725499">
      <w:bodyDiv w:val="1"/>
      <w:marLeft w:val="0"/>
      <w:marRight w:val="0"/>
      <w:marTop w:val="0"/>
      <w:marBottom w:val="0"/>
      <w:divBdr>
        <w:top w:val="none" w:sz="0" w:space="0" w:color="auto"/>
        <w:left w:val="none" w:sz="0" w:space="0" w:color="auto"/>
        <w:bottom w:val="none" w:sz="0" w:space="0" w:color="auto"/>
        <w:right w:val="none" w:sz="0" w:space="0" w:color="auto"/>
      </w:divBdr>
    </w:div>
    <w:div w:id="1026635859">
      <w:bodyDiv w:val="1"/>
      <w:marLeft w:val="0"/>
      <w:marRight w:val="0"/>
      <w:marTop w:val="0"/>
      <w:marBottom w:val="0"/>
      <w:divBdr>
        <w:top w:val="none" w:sz="0" w:space="0" w:color="auto"/>
        <w:left w:val="none" w:sz="0" w:space="0" w:color="auto"/>
        <w:bottom w:val="none" w:sz="0" w:space="0" w:color="auto"/>
        <w:right w:val="none" w:sz="0" w:space="0" w:color="auto"/>
      </w:divBdr>
    </w:div>
    <w:div w:id="1030178905">
      <w:bodyDiv w:val="1"/>
      <w:marLeft w:val="0"/>
      <w:marRight w:val="0"/>
      <w:marTop w:val="0"/>
      <w:marBottom w:val="0"/>
      <w:divBdr>
        <w:top w:val="none" w:sz="0" w:space="0" w:color="auto"/>
        <w:left w:val="none" w:sz="0" w:space="0" w:color="auto"/>
        <w:bottom w:val="none" w:sz="0" w:space="0" w:color="auto"/>
        <w:right w:val="none" w:sz="0" w:space="0" w:color="auto"/>
      </w:divBdr>
    </w:div>
    <w:div w:id="1036387993">
      <w:bodyDiv w:val="1"/>
      <w:marLeft w:val="0"/>
      <w:marRight w:val="0"/>
      <w:marTop w:val="0"/>
      <w:marBottom w:val="0"/>
      <w:divBdr>
        <w:top w:val="none" w:sz="0" w:space="0" w:color="auto"/>
        <w:left w:val="none" w:sz="0" w:space="0" w:color="auto"/>
        <w:bottom w:val="none" w:sz="0" w:space="0" w:color="auto"/>
        <w:right w:val="none" w:sz="0" w:space="0" w:color="auto"/>
      </w:divBdr>
    </w:div>
    <w:div w:id="1043674827">
      <w:bodyDiv w:val="1"/>
      <w:marLeft w:val="0"/>
      <w:marRight w:val="0"/>
      <w:marTop w:val="0"/>
      <w:marBottom w:val="0"/>
      <w:divBdr>
        <w:top w:val="none" w:sz="0" w:space="0" w:color="auto"/>
        <w:left w:val="none" w:sz="0" w:space="0" w:color="auto"/>
        <w:bottom w:val="none" w:sz="0" w:space="0" w:color="auto"/>
        <w:right w:val="none" w:sz="0" w:space="0" w:color="auto"/>
      </w:divBdr>
    </w:div>
    <w:div w:id="1088038951">
      <w:bodyDiv w:val="1"/>
      <w:marLeft w:val="0"/>
      <w:marRight w:val="0"/>
      <w:marTop w:val="0"/>
      <w:marBottom w:val="0"/>
      <w:divBdr>
        <w:top w:val="none" w:sz="0" w:space="0" w:color="auto"/>
        <w:left w:val="none" w:sz="0" w:space="0" w:color="auto"/>
        <w:bottom w:val="none" w:sz="0" w:space="0" w:color="auto"/>
        <w:right w:val="none" w:sz="0" w:space="0" w:color="auto"/>
      </w:divBdr>
    </w:div>
    <w:div w:id="1089349068">
      <w:bodyDiv w:val="1"/>
      <w:marLeft w:val="0"/>
      <w:marRight w:val="0"/>
      <w:marTop w:val="0"/>
      <w:marBottom w:val="0"/>
      <w:divBdr>
        <w:top w:val="none" w:sz="0" w:space="0" w:color="auto"/>
        <w:left w:val="none" w:sz="0" w:space="0" w:color="auto"/>
        <w:bottom w:val="none" w:sz="0" w:space="0" w:color="auto"/>
        <w:right w:val="none" w:sz="0" w:space="0" w:color="auto"/>
      </w:divBdr>
    </w:div>
    <w:div w:id="1105271337">
      <w:bodyDiv w:val="1"/>
      <w:marLeft w:val="0"/>
      <w:marRight w:val="0"/>
      <w:marTop w:val="0"/>
      <w:marBottom w:val="0"/>
      <w:divBdr>
        <w:top w:val="none" w:sz="0" w:space="0" w:color="auto"/>
        <w:left w:val="none" w:sz="0" w:space="0" w:color="auto"/>
        <w:bottom w:val="none" w:sz="0" w:space="0" w:color="auto"/>
        <w:right w:val="none" w:sz="0" w:space="0" w:color="auto"/>
      </w:divBdr>
    </w:div>
    <w:div w:id="1118571109">
      <w:bodyDiv w:val="1"/>
      <w:marLeft w:val="0"/>
      <w:marRight w:val="0"/>
      <w:marTop w:val="0"/>
      <w:marBottom w:val="0"/>
      <w:divBdr>
        <w:top w:val="none" w:sz="0" w:space="0" w:color="auto"/>
        <w:left w:val="none" w:sz="0" w:space="0" w:color="auto"/>
        <w:bottom w:val="none" w:sz="0" w:space="0" w:color="auto"/>
        <w:right w:val="none" w:sz="0" w:space="0" w:color="auto"/>
      </w:divBdr>
    </w:div>
    <w:div w:id="1126655478">
      <w:bodyDiv w:val="1"/>
      <w:marLeft w:val="0"/>
      <w:marRight w:val="0"/>
      <w:marTop w:val="0"/>
      <w:marBottom w:val="0"/>
      <w:divBdr>
        <w:top w:val="none" w:sz="0" w:space="0" w:color="auto"/>
        <w:left w:val="none" w:sz="0" w:space="0" w:color="auto"/>
        <w:bottom w:val="none" w:sz="0" w:space="0" w:color="auto"/>
        <w:right w:val="none" w:sz="0" w:space="0" w:color="auto"/>
      </w:divBdr>
    </w:div>
    <w:div w:id="1160776943">
      <w:bodyDiv w:val="1"/>
      <w:marLeft w:val="0"/>
      <w:marRight w:val="0"/>
      <w:marTop w:val="0"/>
      <w:marBottom w:val="0"/>
      <w:divBdr>
        <w:top w:val="none" w:sz="0" w:space="0" w:color="auto"/>
        <w:left w:val="none" w:sz="0" w:space="0" w:color="auto"/>
        <w:bottom w:val="none" w:sz="0" w:space="0" w:color="auto"/>
        <w:right w:val="none" w:sz="0" w:space="0" w:color="auto"/>
      </w:divBdr>
    </w:div>
    <w:div w:id="1179389588">
      <w:bodyDiv w:val="1"/>
      <w:marLeft w:val="0"/>
      <w:marRight w:val="0"/>
      <w:marTop w:val="0"/>
      <w:marBottom w:val="0"/>
      <w:divBdr>
        <w:top w:val="none" w:sz="0" w:space="0" w:color="auto"/>
        <w:left w:val="none" w:sz="0" w:space="0" w:color="auto"/>
        <w:bottom w:val="none" w:sz="0" w:space="0" w:color="auto"/>
        <w:right w:val="none" w:sz="0" w:space="0" w:color="auto"/>
      </w:divBdr>
    </w:div>
    <w:div w:id="1184171816">
      <w:bodyDiv w:val="1"/>
      <w:marLeft w:val="0"/>
      <w:marRight w:val="0"/>
      <w:marTop w:val="0"/>
      <w:marBottom w:val="0"/>
      <w:divBdr>
        <w:top w:val="none" w:sz="0" w:space="0" w:color="auto"/>
        <w:left w:val="none" w:sz="0" w:space="0" w:color="auto"/>
        <w:bottom w:val="none" w:sz="0" w:space="0" w:color="auto"/>
        <w:right w:val="none" w:sz="0" w:space="0" w:color="auto"/>
      </w:divBdr>
    </w:div>
    <w:div w:id="1187447000">
      <w:bodyDiv w:val="1"/>
      <w:marLeft w:val="0"/>
      <w:marRight w:val="0"/>
      <w:marTop w:val="0"/>
      <w:marBottom w:val="0"/>
      <w:divBdr>
        <w:top w:val="none" w:sz="0" w:space="0" w:color="auto"/>
        <w:left w:val="none" w:sz="0" w:space="0" w:color="auto"/>
        <w:bottom w:val="none" w:sz="0" w:space="0" w:color="auto"/>
        <w:right w:val="none" w:sz="0" w:space="0" w:color="auto"/>
      </w:divBdr>
    </w:div>
    <w:div w:id="1209685145">
      <w:bodyDiv w:val="1"/>
      <w:marLeft w:val="0"/>
      <w:marRight w:val="0"/>
      <w:marTop w:val="0"/>
      <w:marBottom w:val="0"/>
      <w:divBdr>
        <w:top w:val="none" w:sz="0" w:space="0" w:color="auto"/>
        <w:left w:val="none" w:sz="0" w:space="0" w:color="auto"/>
        <w:bottom w:val="none" w:sz="0" w:space="0" w:color="auto"/>
        <w:right w:val="none" w:sz="0" w:space="0" w:color="auto"/>
      </w:divBdr>
    </w:div>
    <w:div w:id="1252466264">
      <w:bodyDiv w:val="1"/>
      <w:marLeft w:val="0"/>
      <w:marRight w:val="0"/>
      <w:marTop w:val="0"/>
      <w:marBottom w:val="0"/>
      <w:divBdr>
        <w:top w:val="none" w:sz="0" w:space="0" w:color="auto"/>
        <w:left w:val="none" w:sz="0" w:space="0" w:color="auto"/>
        <w:bottom w:val="none" w:sz="0" w:space="0" w:color="auto"/>
        <w:right w:val="none" w:sz="0" w:space="0" w:color="auto"/>
      </w:divBdr>
    </w:div>
    <w:div w:id="1260679830">
      <w:bodyDiv w:val="1"/>
      <w:marLeft w:val="0"/>
      <w:marRight w:val="0"/>
      <w:marTop w:val="0"/>
      <w:marBottom w:val="0"/>
      <w:divBdr>
        <w:top w:val="none" w:sz="0" w:space="0" w:color="auto"/>
        <w:left w:val="none" w:sz="0" w:space="0" w:color="auto"/>
        <w:bottom w:val="none" w:sz="0" w:space="0" w:color="auto"/>
        <w:right w:val="none" w:sz="0" w:space="0" w:color="auto"/>
      </w:divBdr>
    </w:div>
    <w:div w:id="1264458019">
      <w:bodyDiv w:val="1"/>
      <w:marLeft w:val="0"/>
      <w:marRight w:val="0"/>
      <w:marTop w:val="0"/>
      <w:marBottom w:val="0"/>
      <w:divBdr>
        <w:top w:val="none" w:sz="0" w:space="0" w:color="auto"/>
        <w:left w:val="none" w:sz="0" w:space="0" w:color="auto"/>
        <w:bottom w:val="none" w:sz="0" w:space="0" w:color="auto"/>
        <w:right w:val="none" w:sz="0" w:space="0" w:color="auto"/>
      </w:divBdr>
    </w:div>
    <w:div w:id="1273438539">
      <w:bodyDiv w:val="1"/>
      <w:marLeft w:val="0"/>
      <w:marRight w:val="0"/>
      <w:marTop w:val="0"/>
      <w:marBottom w:val="0"/>
      <w:divBdr>
        <w:top w:val="none" w:sz="0" w:space="0" w:color="auto"/>
        <w:left w:val="none" w:sz="0" w:space="0" w:color="auto"/>
        <w:bottom w:val="none" w:sz="0" w:space="0" w:color="auto"/>
        <w:right w:val="none" w:sz="0" w:space="0" w:color="auto"/>
      </w:divBdr>
    </w:div>
    <w:div w:id="1281258816">
      <w:bodyDiv w:val="1"/>
      <w:marLeft w:val="0"/>
      <w:marRight w:val="0"/>
      <w:marTop w:val="0"/>
      <w:marBottom w:val="0"/>
      <w:divBdr>
        <w:top w:val="none" w:sz="0" w:space="0" w:color="auto"/>
        <w:left w:val="none" w:sz="0" w:space="0" w:color="auto"/>
        <w:bottom w:val="none" w:sz="0" w:space="0" w:color="auto"/>
        <w:right w:val="none" w:sz="0" w:space="0" w:color="auto"/>
      </w:divBdr>
    </w:div>
    <w:div w:id="1281718066">
      <w:bodyDiv w:val="1"/>
      <w:marLeft w:val="0"/>
      <w:marRight w:val="0"/>
      <w:marTop w:val="0"/>
      <w:marBottom w:val="0"/>
      <w:divBdr>
        <w:top w:val="none" w:sz="0" w:space="0" w:color="auto"/>
        <w:left w:val="none" w:sz="0" w:space="0" w:color="auto"/>
        <w:bottom w:val="none" w:sz="0" w:space="0" w:color="auto"/>
        <w:right w:val="none" w:sz="0" w:space="0" w:color="auto"/>
      </w:divBdr>
    </w:div>
    <w:div w:id="1285769852">
      <w:bodyDiv w:val="1"/>
      <w:marLeft w:val="0"/>
      <w:marRight w:val="0"/>
      <w:marTop w:val="0"/>
      <w:marBottom w:val="0"/>
      <w:divBdr>
        <w:top w:val="none" w:sz="0" w:space="0" w:color="auto"/>
        <w:left w:val="none" w:sz="0" w:space="0" w:color="auto"/>
        <w:bottom w:val="none" w:sz="0" w:space="0" w:color="auto"/>
        <w:right w:val="none" w:sz="0" w:space="0" w:color="auto"/>
      </w:divBdr>
    </w:div>
    <w:div w:id="1295334806">
      <w:bodyDiv w:val="1"/>
      <w:marLeft w:val="0"/>
      <w:marRight w:val="0"/>
      <w:marTop w:val="0"/>
      <w:marBottom w:val="0"/>
      <w:divBdr>
        <w:top w:val="none" w:sz="0" w:space="0" w:color="auto"/>
        <w:left w:val="none" w:sz="0" w:space="0" w:color="auto"/>
        <w:bottom w:val="none" w:sz="0" w:space="0" w:color="auto"/>
        <w:right w:val="none" w:sz="0" w:space="0" w:color="auto"/>
      </w:divBdr>
    </w:div>
    <w:div w:id="1299611290">
      <w:bodyDiv w:val="1"/>
      <w:marLeft w:val="0"/>
      <w:marRight w:val="0"/>
      <w:marTop w:val="0"/>
      <w:marBottom w:val="0"/>
      <w:divBdr>
        <w:top w:val="none" w:sz="0" w:space="0" w:color="auto"/>
        <w:left w:val="none" w:sz="0" w:space="0" w:color="auto"/>
        <w:bottom w:val="none" w:sz="0" w:space="0" w:color="auto"/>
        <w:right w:val="none" w:sz="0" w:space="0" w:color="auto"/>
      </w:divBdr>
    </w:div>
    <w:div w:id="1304235237">
      <w:bodyDiv w:val="1"/>
      <w:marLeft w:val="0"/>
      <w:marRight w:val="0"/>
      <w:marTop w:val="0"/>
      <w:marBottom w:val="0"/>
      <w:divBdr>
        <w:top w:val="none" w:sz="0" w:space="0" w:color="auto"/>
        <w:left w:val="none" w:sz="0" w:space="0" w:color="auto"/>
        <w:bottom w:val="none" w:sz="0" w:space="0" w:color="auto"/>
        <w:right w:val="none" w:sz="0" w:space="0" w:color="auto"/>
      </w:divBdr>
    </w:div>
    <w:div w:id="1309551232">
      <w:bodyDiv w:val="1"/>
      <w:marLeft w:val="0"/>
      <w:marRight w:val="0"/>
      <w:marTop w:val="0"/>
      <w:marBottom w:val="0"/>
      <w:divBdr>
        <w:top w:val="none" w:sz="0" w:space="0" w:color="auto"/>
        <w:left w:val="none" w:sz="0" w:space="0" w:color="auto"/>
        <w:bottom w:val="none" w:sz="0" w:space="0" w:color="auto"/>
        <w:right w:val="none" w:sz="0" w:space="0" w:color="auto"/>
      </w:divBdr>
    </w:div>
    <w:div w:id="1346904236">
      <w:bodyDiv w:val="1"/>
      <w:marLeft w:val="0"/>
      <w:marRight w:val="0"/>
      <w:marTop w:val="0"/>
      <w:marBottom w:val="0"/>
      <w:divBdr>
        <w:top w:val="none" w:sz="0" w:space="0" w:color="auto"/>
        <w:left w:val="none" w:sz="0" w:space="0" w:color="auto"/>
        <w:bottom w:val="none" w:sz="0" w:space="0" w:color="auto"/>
        <w:right w:val="none" w:sz="0" w:space="0" w:color="auto"/>
      </w:divBdr>
    </w:div>
    <w:div w:id="1358461416">
      <w:bodyDiv w:val="1"/>
      <w:marLeft w:val="0"/>
      <w:marRight w:val="0"/>
      <w:marTop w:val="0"/>
      <w:marBottom w:val="0"/>
      <w:divBdr>
        <w:top w:val="none" w:sz="0" w:space="0" w:color="auto"/>
        <w:left w:val="none" w:sz="0" w:space="0" w:color="auto"/>
        <w:bottom w:val="none" w:sz="0" w:space="0" w:color="auto"/>
        <w:right w:val="none" w:sz="0" w:space="0" w:color="auto"/>
      </w:divBdr>
    </w:div>
    <w:div w:id="1364597400">
      <w:bodyDiv w:val="1"/>
      <w:marLeft w:val="0"/>
      <w:marRight w:val="0"/>
      <w:marTop w:val="0"/>
      <w:marBottom w:val="0"/>
      <w:divBdr>
        <w:top w:val="none" w:sz="0" w:space="0" w:color="auto"/>
        <w:left w:val="none" w:sz="0" w:space="0" w:color="auto"/>
        <w:bottom w:val="none" w:sz="0" w:space="0" w:color="auto"/>
        <w:right w:val="none" w:sz="0" w:space="0" w:color="auto"/>
      </w:divBdr>
    </w:div>
    <w:div w:id="1377387375">
      <w:bodyDiv w:val="1"/>
      <w:marLeft w:val="0"/>
      <w:marRight w:val="0"/>
      <w:marTop w:val="0"/>
      <w:marBottom w:val="0"/>
      <w:divBdr>
        <w:top w:val="none" w:sz="0" w:space="0" w:color="auto"/>
        <w:left w:val="none" w:sz="0" w:space="0" w:color="auto"/>
        <w:bottom w:val="none" w:sz="0" w:space="0" w:color="auto"/>
        <w:right w:val="none" w:sz="0" w:space="0" w:color="auto"/>
      </w:divBdr>
    </w:div>
    <w:div w:id="1381827477">
      <w:bodyDiv w:val="1"/>
      <w:marLeft w:val="0"/>
      <w:marRight w:val="0"/>
      <w:marTop w:val="0"/>
      <w:marBottom w:val="0"/>
      <w:divBdr>
        <w:top w:val="none" w:sz="0" w:space="0" w:color="auto"/>
        <w:left w:val="none" w:sz="0" w:space="0" w:color="auto"/>
        <w:bottom w:val="none" w:sz="0" w:space="0" w:color="auto"/>
        <w:right w:val="none" w:sz="0" w:space="0" w:color="auto"/>
      </w:divBdr>
    </w:div>
    <w:div w:id="1411073264">
      <w:bodyDiv w:val="1"/>
      <w:marLeft w:val="0"/>
      <w:marRight w:val="0"/>
      <w:marTop w:val="0"/>
      <w:marBottom w:val="0"/>
      <w:divBdr>
        <w:top w:val="none" w:sz="0" w:space="0" w:color="auto"/>
        <w:left w:val="none" w:sz="0" w:space="0" w:color="auto"/>
        <w:bottom w:val="none" w:sz="0" w:space="0" w:color="auto"/>
        <w:right w:val="none" w:sz="0" w:space="0" w:color="auto"/>
      </w:divBdr>
    </w:div>
    <w:div w:id="1453355401">
      <w:bodyDiv w:val="1"/>
      <w:marLeft w:val="0"/>
      <w:marRight w:val="0"/>
      <w:marTop w:val="0"/>
      <w:marBottom w:val="0"/>
      <w:divBdr>
        <w:top w:val="none" w:sz="0" w:space="0" w:color="auto"/>
        <w:left w:val="none" w:sz="0" w:space="0" w:color="auto"/>
        <w:bottom w:val="none" w:sz="0" w:space="0" w:color="auto"/>
        <w:right w:val="none" w:sz="0" w:space="0" w:color="auto"/>
      </w:divBdr>
    </w:div>
    <w:div w:id="1463647584">
      <w:bodyDiv w:val="1"/>
      <w:marLeft w:val="0"/>
      <w:marRight w:val="0"/>
      <w:marTop w:val="0"/>
      <w:marBottom w:val="0"/>
      <w:divBdr>
        <w:top w:val="none" w:sz="0" w:space="0" w:color="auto"/>
        <w:left w:val="none" w:sz="0" w:space="0" w:color="auto"/>
        <w:bottom w:val="none" w:sz="0" w:space="0" w:color="auto"/>
        <w:right w:val="none" w:sz="0" w:space="0" w:color="auto"/>
      </w:divBdr>
    </w:div>
    <w:div w:id="1489251455">
      <w:bodyDiv w:val="1"/>
      <w:marLeft w:val="0"/>
      <w:marRight w:val="0"/>
      <w:marTop w:val="0"/>
      <w:marBottom w:val="0"/>
      <w:divBdr>
        <w:top w:val="none" w:sz="0" w:space="0" w:color="auto"/>
        <w:left w:val="none" w:sz="0" w:space="0" w:color="auto"/>
        <w:bottom w:val="none" w:sz="0" w:space="0" w:color="auto"/>
        <w:right w:val="none" w:sz="0" w:space="0" w:color="auto"/>
      </w:divBdr>
    </w:div>
    <w:div w:id="1502307108">
      <w:bodyDiv w:val="1"/>
      <w:marLeft w:val="0"/>
      <w:marRight w:val="0"/>
      <w:marTop w:val="0"/>
      <w:marBottom w:val="0"/>
      <w:divBdr>
        <w:top w:val="none" w:sz="0" w:space="0" w:color="auto"/>
        <w:left w:val="none" w:sz="0" w:space="0" w:color="auto"/>
        <w:bottom w:val="none" w:sz="0" w:space="0" w:color="auto"/>
        <w:right w:val="none" w:sz="0" w:space="0" w:color="auto"/>
      </w:divBdr>
    </w:div>
    <w:div w:id="1579100365">
      <w:bodyDiv w:val="1"/>
      <w:marLeft w:val="0"/>
      <w:marRight w:val="0"/>
      <w:marTop w:val="0"/>
      <w:marBottom w:val="0"/>
      <w:divBdr>
        <w:top w:val="none" w:sz="0" w:space="0" w:color="auto"/>
        <w:left w:val="none" w:sz="0" w:space="0" w:color="auto"/>
        <w:bottom w:val="none" w:sz="0" w:space="0" w:color="auto"/>
        <w:right w:val="none" w:sz="0" w:space="0" w:color="auto"/>
      </w:divBdr>
    </w:div>
    <w:div w:id="1620649958">
      <w:bodyDiv w:val="1"/>
      <w:marLeft w:val="0"/>
      <w:marRight w:val="0"/>
      <w:marTop w:val="0"/>
      <w:marBottom w:val="0"/>
      <w:divBdr>
        <w:top w:val="none" w:sz="0" w:space="0" w:color="auto"/>
        <w:left w:val="none" w:sz="0" w:space="0" w:color="auto"/>
        <w:bottom w:val="none" w:sz="0" w:space="0" w:color="auto"/>
        <w:right w:val="none" w:sz="0" w:space="0" w:color="auto"/>
      </w:divBdr>
    </w:div>
    <w:div w:id="1626354432">
      <w:bodyDiv w:val="1"/>
      <w:marLeft w:val="0"/>
      <w:marRight w:val="0"/>
      <w:marTop w:val="0"/>
      <w:marBottom w:val="0"/>
      <w:divBdr>
        <w:top w:val="none" w:sz="0" w:space="0" w:color="auto"/>
        <w:left w:val="none" w:sz="0" w:space="0" w:color="auto"/>
        <w:bottom w:val="none" w:sz="0" w:space="0" w:color="auto"/>
        <w:right w:val="none" w:sz="0" w:space="0" w:color="auto"/>
      </w:divBdr>
    </w:div>
    <w:div w:id="1637447418">
      <w:bodyDiv w:val="1"/>
      <w:marLeft w:val="0"/>
      <w:marRight w:val="0"/>
      <w:marTop w:val="0"/>
      <w:marBottom w:val="0"/>
      <w:divBdr>
        <w:top w:val="none" w:sz="0" w:space="0" w:color="auto"/>
        <w:left w:val="none" w:sz="0" w:space="0" w:color="auto"/>
        <w:bottom w:val="none" w:sz="0" w:space="0" w:color="auto"/>
        <w:right w:val="none" w:sz="0" w:space="0" w:color="auto"/>
      </w:divBdr>
    </w:div>
    <w:div w:id="1638534040">
      <w:bodyDiv w:val="1"/>
      <w:marLeft w:val="0"/>
      <w:marRight w:val="0"/>
      <w:marTop w:val="0"/>
      <w:marBottom w:val="0"/>
      <w:divBdr>
        <w:top w:val="none" w:sz="0" w:space="0" w:color="auto"/>
        <w:left w:val="none" w:sz="0" w:space="0" w:color="auto"/>
        <w:bottom w:val="none" w:sz="0" w:space="0" w:color="auto"/>
        <w:right w:val="none" w:sz="0" w:space="0" w:color="auto"/>
      </w:divBdr>
    </w:div>
    <w:div w:id="1647318680">
      <w:bodyDiv w:val="1"/>
      <w:marLeft w:val="0"/>
      <w:marRight w:val="0"/>
      <w:marTop w:val="0"/>
      <w:marBottom w:val="0"/>
      <w:divBdr>
        <w:top w:val="none" w:sz="0" w:space="0" w:color="auto"/>
        <w:left w:val="none" w:sz="0" w:space="0" w:color="auto"/>
        <w:bottom w:val="none" w:sz="0" w:space="0" w:color="auto"/>
        <w:right w:val="none" w:sz="0" w:space="0" w:color="auto"/>
      </w:divBdr>
    </w:div>
    <w:div w:id="1677686643">
      <w:bodyDiv w:val="1"/>
      <w:marLeft w:val="0"/>
      <w:marRight w:val="0"/>
      <w:marTop w:val="0"/>
      <w:marBottom w:val="0"/>
      <w:divBdr>
        <w:top w:val="none" w:sz="0" w:space="0" w:color="auto"/>
        <w:left w:val="none" w:sz="0" w:space="0" w:color="auto"/>
        <w:bottom w:val="none" w:sz="0" w:space="0" w:color="auto"/>
        <w:right w:val="none" w:sz="0" w:space="0" w:color="auto"/>
      </w:divBdr>
    </w:div>
    <w:div w:id="1684093095">
      <w:bodyDiv w:val="1"/>
      <w:marLeft w:val="0"/>
      <w:marRight w:val="0"/>
      <w:marTop w:val="0"/>
      <w:marBottom w:val="0"/>
      <w:divBdr>
        <w:top w:val="none" w:sz="0" w:space="0" w:color="auto"/>
        <w:left w:val="none" w:sz="0" w:space="0" w:color="auto"/>
        <w:bottom w:val="none" w:sz="0" w:space="0" w:color="auto"/>
        <w:right w:val="none" w:sz="0" w:space="0" w:color="auto"/>
      </w:divBdr>
    </w:div>
    <w:div w:id="1691028585">
      <w:bodyDiv w:val="1"/>
      <w:marLeft w:val="0"/>
      <w:marRight w:val="0"/>
      <w:marTop w:val="0"/>
      <w:marBottom w:val="0"/>
      <w:divBdr>
        <w:top w:val="none" w:sz="0" w:space="0" w:color="auto"/>
        <w:left w:val="none" w:sz="0" w:space="0" w:color="auto"/>
        <w:bottom w:val="none" w:sz="0" w:space="0" w:color="auto"/>
        <w:right w:val="none" w:sz="0" w:space="0" w:color="auto"/>
      </w:divBdr>
    </w:div>
    <w:div w:id="1693804336">
      <w:bodyDiv w:val="1"/>
      <w:marLeft w:val="0"/>
      <w:marRight w:val="0"/>
      <w:marTop w:val="0"/>
      <w:marBottom w:val="0"/>
      <w:divBdr>
        <w:top w:val="none" w:sz="0" w:space="0" w:color="auto"/>
        <w:left w:val="none" w:sz="0" w:space="0" w:color="auto"/>
        <w:bottom w:val="none" w:sz="0" w:space="0" w:color="auto"/>
        <w:right w:val="none" w:sz="0" w:space="0" w:color="auto"/>
      </w:divBdr>
    </w:div>
    <w:div w:id="1702894132">
      <w:bodyDiv w:val="1"/>
      <w:marLeft w:val="0"/>
      <w:marRight w:val="0"/>
      <w:marTop w:val="0"/>
      <w:marBottom w:val="0"/>
      <w:divBdr>
        <w:top w:val="none" w:sz="0" w:space="0" w:color="auto"/>
        <w:left w:val="none" w:sz="0" w:space="0" w:color="auto"/>
        <w:bottom w:val="none" w:sz="0" w:space="0" w:color="auto"/>
        <w:right w:val="none" w:sz="0" w:space="0" w:color="auto"/>
      </w:divBdr>
    </w:div>
    <w:div w:id="1706101144">
      <w:bodyDiv w:val="1"/>
      <w:marLeft w:val="0"/>
      <w:marRight w:val="0"/>
      <w:marTop w:val="0"/>
      <w:marBottom w:val="0"/>
      <w:divBdr>
        <w:top w:val="none" w:sz="0" w:space="0" w:color="auto"/>
        <w:left w:val="none" w:sz="0" w:space="0" w:color="auto"/>
        <w:bottom w:val="none" w:sz="0" w:space="0" w:color="auto"/>
        <w:right w:val="none" w:sz="0" w:space="0" w:color="auto"/>
      </w:divBdr>
    </w:div>
    <w:div w:id="1710179071">
      <w:bodyDiv w:val="1"/>
      <w:marLeft w:val="0"/>
      <w:marRight w:val="0"/>
      <w:marTop w:val="0"/>
      <w:marBottom w:val="0"/>
      <w:divBdr>
        <w:top w:val="none" w:sz="0" w:space="0" w:color="auto"/>
        <w:left w:val="none" w:sz="0" w:space="0" w:color="auto"/>
        <w:bottom w:val="none" w:sz="0" w:space="0" w:color="auto"/>
        <w:right w:val="none" w:sz="0" w:space="0" w:color="auto"/>
      </w:divBdr>
    </w:div>
    <w:div w:id="1711565928">
      <w:bodyDiv w:val="1"/>
      <w:marLeft w:val="0"/>
      <w:marRight w:val="0"/>
      <w:marTop w:val="0"/>
      <w:marBottom w:val="0"/>
      <w:divBdr>
        <w:top w:val="none" w:sz="0" w:space="0" w:color="auto"/>
        <w:left w:val="none" w:sz="0" w:space="0" w:color="auto"/>
        <w:bottom w:val="none" w:sz="0" w:space="0" w:color="auto"/>
        <w:right w:val="none" w:sz="0" w:space="0" w:color="auto"/>
      </w:divBdr>
    </w:div>
    <w:div w:id="1713191416">
      <w:bodyDiv w:val="1"/>
      <w:marLeft w:val="0"/>
      <w:marRight w:val="0"/>
      <w:marTop w:val="0"/>
      <w:marBottom w:val="0"/>
      <w:divBdr>
        <w:top w:val="none" w:sz="0" w:space="0" w:color="auto"/>
        <w:left w:val="none" w:sz="0" w:space="0" w:color="auto"/>
        <w:bottom w:val="none" w:sz="0" w:space="0" w:color="auto"/>
        <w:right w:val="none" w:sz="0" w:space="0" w:color="auto"/>
      </w:divBdr>
    </w:div>
    <w:div w:id="1720544919">
      <w:bodyDiv w:val="1"/>
      <w:marLeft w:val="0"/>
      <w:marRight w:val="0"/>
      <w:marTop w:val="0"/>
      <w:marBottom w:val="0"/>
      <w:divBdr>
        <w:top w:val="none" w:sz="0" w:space="0" w:color="auto"/>
        <w:left w:val="none" w:sz="0" w:space="0" w:color="auto"/>
        <w:bottom w:val="none" w:sz="0" w:space="0" w:color="auto"/>
        <w:right w:val="none" w:sz="0" w:space="0" w:color="auto"/>
      </w:divBdr>
    </w:div>
    <w:div w:id="1747536456">
      <w:bodyDiv w:val="1"/>
      <w:marLeft w:val="0"/>
      <w:marRight w:val="0"/>
      <w:marTop w:val="0"/>
      <w:marBottom w:val="0"/>
      <w:divBdr>
        <w:top w:val="none" w:sz="0" w:space="0" w:color="auto"/>
        <w:left w:val="none" w:sz="0" w:space="0" w:color="auto"/>
        <w:bottom w:val="none" w:sz="0" w:space="0" w:color="auto"/>
        <w:right w:val="none" w:sz="0" w:space="0" w:color="auto"/>
      </w:divBdr>
    </w:div>
    <w:div w:id="1748112252">
      <w:bodyDiv w:val="1"/>
      <w:marLeft w:val="0"/>
      <w:marRight w:val="0"/>
      <w:marTop w:val="0"/>
      <w:marBottom w:val="0"/>
      <w:divBdr>
        <w:top w:val="none" w:sz="0" w:space="0" w:color="auto"/>
        <w:left w:val="none" w:sz="0" w:space="0" w:color="auto"/>
        <w:bottom w:val="none" w:sz="0" w:space="0" w:color="auto"/>
        <w:right w:val="none" w:sz="0" w:space="0" w:color="auto"/>
      </w:divBdr>
    </w:div>
    <w:div w:id="1753315550">
      <w:bodyDiv w:val="1"/>
      <w:marLeft w:val="0"/>
      <w:marRight w:val="0"/>
      <w:marTop w:val="0"/>
      <w:marBottom w:val="0"/>
      <w:divBdr>
        <w:top w:val="none" w:sz="0" w:space="0" w:color="auto"/>
        <w:left w:val="none" w:sz="0" w:space="0" w:color="auto"/>
        <w:bottom w:val="none" w:sz="0" w:space="0" w:color="auto"/>
        <w:right w:val="none" w:sz="0" w:space="0" w:color="auto"/>
      </w:divBdr>
    </w:div>
    <w:div w:id="1768652507">
      <w:bodyDiv w:val="1"/>
      <w:marLeft w:val="0"/>
      <w:marRight w:val="0"/>
      <w:marTop w:val="0"/>
      <w:marBottom w:val="0"/>
      <w:divBdr>
        <w:top w:val="none" w:sz="0" w:space="0" w:color="auto"/>
        <w:left w:val="none" w:sz="0" w:space="0" w:color="auto"/>
        <w:bottom w:val="none" w:sz="0" w:space="0" w:color="auto"/>
        <w:right w:val="none" w:sz="0" w:space="0" w:color="auto"/>
      </w:divBdr>
    </w:div>
    <w:div w:id="1802769593">
      <w:bodyDiv w:val="1"/>
      <w:marLeft w:val="0"/>
      <w:marRight w:val="0"/>
      <w:marTop w:val="0"/>
      <w:marBottom w:val="0"/>
      <w:divBdr>
        <w:top w:val="none" w:sz="0" w:space="0" w:color="auto"/>
        <w:left w:val="none" w:sz="0" w:space="0" w:color="auto"/>
        <w:bottom w:val="none" w:sz="0" w:space="0" w:color="auto"/>
        <w:right w:val="none" w:sz="0" w:space="0" w:color="auto"/>
      </w:divBdr>
    </w:div>
    <w:div w:id="1806656044">
      <w:bodyDiv w:val="1"/>
      <w:marLeft w:val="0"/>
      <w:marRight w:val="0"/>
      <w:marTop w:val="0"/>
      <w:marBottom w:val="0"/>
      <w:divBdr>
        <w:top w:val="none" w:sz="0" w:space="0" w:color="auto"/>
        <w:left w:val="none" w:sz="0" w:space="0" w:color="auto"/>
        <w:bottom w:val="none" w:sz="0" w:space="0" w:color="auto"/>
        <w:right w:val="none" w:sz="0" w:space="0" w:color="auto"/>
      </w:divBdr>
    </w:div>
    <w:div w:id="1881815534">
      <w:bodyDiv w:val="1"/>
      <w:marLeft w:val="0"/>
      <w:marRight w:val="0"/>
      <w:marTop w:val="0"/>
      <w:marBottom w:val="0"/>
      <w:divBdr>
        <w:top w:val="none" w:sz="0" w:space="0" w:color="auto"/>
        <w:left w:val="none" w:sz="0" w:space="0" w:color="auto"/>
        <w:bottom w:val="none" w:sz="0" w:space="0" w:color="auto"/>
        <w:right w:val="none" w:sz="0" w:space="0" w:color="auto"/>
      </w:divBdr>
    </w:div>
    <w:div w:id="1901165634">
      <w:bodyDiv w:val="1"/>
      <w:marLeft w:val="0"/>
      <w:marRight w:val="0"/>
      <w:marTop w:val="0"/>
      <w:marBottom w:val="0"/>
      <w:divBdr>
        <w:top w:val="none" w:sz="0" w:space="0" w:color="auto"/>
        <w:left w:val="none" w:sz="0" w:space="0" w:color="auto"/>
        <w:bottom w:val="none" w:sz="0" w:space="0" w:color="auto"/>
        <w:right w:val="none" w:sz="0" w:space="0" w:color="auto"/>
      </w:divBdr>
    </w:div>
    <w:div w:id="1906212589">
      <w:bodyDiv w:val="1"/>
      <w:marLeft w:val="0"/>
      <w:marRight w:val="0"/>
      <w:marTop w:val="0"/>
      <w:marBottom w:val="0"/>
      <w:divBdr>
        <w:top w:val="none" w:sz="0" w:space="0" w:color="auto"/>
        <w:left w:val="none" w:sz="0" w:space="0" w:color="auto"/>
        <w:bottom w:val="none" w:sz="0" w:space="0" w:color="auto"/>
        <w:right w:val="none" w:sz="0" w:space="0" w:color="auto"/>
      </w:divBdr>
    </w:div>
    <w:div w:id="1912809130">
      <w:bodyDiv w:val="1"/>
      <w:marLeft w:val="0"/>
      <w:marRight w:val="0"/>
      <w:marTop w:val="0"/>
      <w:marBottom w:val="0"/>
      <w:divBdr>
        <w:top w:val="none" w:sz="0" w:space="0" w:color="auto"/>
        <w:left w:val="none" w:sz="0" w:space="0" w:color="auto"/>
        <w:bottom w:val="none" w:sz="0" w:space="0" w:color="auto"/>
        <w:right w:val="none" w:sz="0" w:space="0" w:color="auto"/>
      </w:divBdr>
    </w:div>
    <w:div w:id="1938980064">
      <w:bodyDiv w:val="1"/>
      <w:marLeft w:val="0"/>
      <w:marRight w:val="0"/>
      <w:marTop w:val="0"/>
      <w:marBottom w:val="0"/>
      <w:divBdr>
        <w:top w:val="none" w:sz="0" w:space="0" w:color="auto"/>
        <w:left w:val="none" w:sz="0" w:space="0" w:color="auto"/>
        <w:bottom w:val="none" w:sz="0" w:space="0" w:color="auto"/>
        <w:right w:val="none" w:sz="0" w:space="0" w:color="auto"/>
      </w:divBdr>
    </w:div>
    <w:div w:id="2017268466">
      <w:bodyDiv w:val="1"/>
      <w:marLeft w:val="0"/>
      <w:marRight w:val="0"/>
      <w:marTop w:val="0"/>
      <w:marBottom w:val="0"/>
      <w:divBdr>
        <w:top w:val="none" w:sz="0" w:space="0" w:color="auto"/>
        <w:left w:val="none" w:sz="0" w:space="0" w:color="auto"/>
        <w:bottom w:val="none" w:sz="0" w:space="0" w:color="auto"/>
        <w:right w:val="none" w:sz="0" w:space="0" w:color="auto"/>
      </w:divBdr>
    </w:div>
    <w:div w:id="2048990943">
      <w:bodyDiv w:val="1"/>
      <w:marLeft w:val="0"/>
      <w:marRight w:val="0"/>
      <w:marTop w:val="0"/>
      <w:marBottom w:val="0"/>
      <w:divBdr>
        <w:top w:val="none" w:sz="0" w:space="0" w:color="auto"/>
        <w:left w:val="none" w:sz="0" w:space="0" w:color="auto"/>
        <w:bottom w:val="none" w:sz="0" w:space="0" w:color="auto"/>
        <w:right w:val="none" w:sz="0" w:space="0" w:color="auto"/>
      </w:divBdr>
    </w:div>
    <w:div w:id="2080321838">
      <w:bodyDiv w:val="1"/>
      <w:marLeft w:val="0"/>
      <w:marRight w:val="0"/>
      <w:marTop w:val="0"/>
      <w:marBottom w:val="0"/>
      <w:divBdr>
        <w:top w:val="none" w:sz="0" w:space="0" w:color="auto"/>
        <w:left w:val="none" w:sz="0" w:space="0" w:color="auto"/>
        <w:bottom w:val="none" w:sz="0" w:space="0" w:color="auto"/>
        <w:right w:val="none" w:sz="0" w:space="0" w:color="auto"/>
      </w:divBdr>
    </w:div>
    <w:div w:id="2092266325">
      <w:bodyDiv w:val="1"/>
      <w:marLeft w:val="0"/>
      <w:marRight w:val="0"/>
      <w:marTop w:val="0"/>
      <w:marBottom w:val="0"/>
      <w:divBdr>
        <w:top w:val="none" w:sz="0" w:space="0" w:color="auto"/>
        <w:left w:val="none" w:sz="0" w:space="0" w:color="auto"/>
        <w:bottom w:val="none" w:sz="0" w:space="0" w:color="auto"/>
        <w:right w:val="none" w:sz="0" w:space="0" w:color="auto"/>
      </w:divBdr>
    </w:div>
    <w:div w:id="21410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manana.kharchilava\Manana\AVERAGE%20Terms\Average%20Weighted%20Interest%20Rate_2016%20AUG_GEO.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Users\i.romanadze\AppData\Roaming\Microsoft\Excel\External%20Debt-12-2018%20W%20(1)%20(version%202).xlsb" TargetMode="External"/><Relationship Id="rId2" Type="http://schemas.microsoft.com/office/2011/relationships/chartColorStyle" Target="colors7.xml"/><Relationship Id="rId1" Type="http://schemas.microsoft.com/office/2011/relationships/chartStyle" Target="style7.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irakli.katcharava\AppData\Local\Microsoft\Windows\INetCache\Content.Outlook\138UCRMN\2017%20vs%202018.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C:\Users\i.romanadze\Desktop\2017%20vs%202018NNNNNNNN.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manana.kharchilava\Manana\AVERAGE%20Terms\Average%20Weighted%20Interest%20Rate_2018%20June_GEO-E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anana.kharchilava\Manana\AVERAGE%20Terms\Average%20Weighted%20Interest%20Rate_2017%20DEC_GEO-Eng.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i.romanadze\Desktop\2017%20vs%202018NNNNNNNN.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3.xlsx"/></Relationships>
</file>

<file path=word/charts/_rels/chart9.xml.rels><?xml version="1.0" encoding="UTF-8" standalone="yes"?>
<Relationships xmlns="http://schemas.openxmlformats.org/package/2006/relationships"><Relationship Id="rId3" Type="http://schemas.openxmlformats.org/officeDocument/2006/relationships/oleObject" Target="file:///C:\Users\i.romanadze\AppData\Roaming\Microsoft\Excel\External%20Debt-12-2018%20W%20(1)%20(version%202).xlsb"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916350899823592E-2"/>
          <c:y val="7.3462577614608934E-2"/>
          <c:w val="0.97408368841675341"/>
          <c:h val="0.8946144350721007"/>
        </c:manualLayout>
      </c:layout>
      <c:ofPieChart>
        <c:ofPieType val="bar"/>
        <c:varyColors val="1"/>
        <c:ser>
          <c:idx val="0"/>
          <c:order val="0"/>
          <c:tx>
            <c:strRef>
              <c:f>'AUG_2016_G '!$O$6</c:f>
              <c:strCache>
                <c:ptCount val="1"/>
                <c:pt idx="0">
                  <c:v> საშინაო </c:v>
                </c:pt>
              </c:strCache>
            </c:strRef>
          </c:tx>
          <c:explosion val="5"/>
          <c:dPt>
            <c:idx val="0"/>
            <c:bubble3D val="0"/>
            <c:spPr>
              <a:solidFill>
                <a:schemeClr val="accent4">
                  <a:lumMod val="40000"/>
                  <a:lumOff val="60000"/>
                </a:schemeClr>
              </a:solidFill>
            </c:spPr>
            <c:extLst>
              <c:ext xmlns:c16="http://schemas.microsoft.com/office/drawing/2014/chart" uri="{C3380CC4-5D6E-409C-BE32-E72D297353CC}">
                <c16:uniqueId val="{00000001-FD7A-4E07-A63D-4CF862CFBD10}"/>
              </c:ext>
            </c:extLst>
          </c:dPt>
          <c:dPt>
            <c:idx val="1"/>
            <c:bubble3D val="0"/>
            <c:spPr>
              <a:solidFill>
                <a:srgbClr val="A5C6F7"/>
              </a:solidFill>
            </c:spPr>
            <c:extLst>
              <c:ext xmlns:c16="http://schemas.microsoft.com/office/drawing/2014/chart" uri="{C3380CC4-5D6E-409C-BE32-E72D297353CC}">
                <c16:uniqueId val="{00000003-FD7A-4E07-A63D-4CF862CFBD10}"/>
              </c:ext>
            </c:extLst>
          </c:dPt>
          <c:dPt>
            <c:idx val="2"/>
            <c:bubble3D val="0"/>
            <c:spPr>
              <a:solidFill>
                <a:schemeClr val="accent4">
                  <a:lumMod val="40000"/>
                  <a:lumOff val="60000"/>
                </a:schemeClr>
              </a:solidFill>
            </c:spPr>
            <c:extLst>
              <c:ext xmlns:c16="http://schemas.microsoft.com/office/drawing/2014/chart" uri="{C3380CC4-5D6E-409C-BE32-E72D297353CC}">
                <c16:uniqueId val="{00000005-FD7A-4E07-A63D-4CF862CFBD10}"/>
              </c:ext>
            </c:extLst>
          </c:dPt>
          <c:dPt>
            <c:idx val="3"/>
            <c:bubble3D val="0"/>
            <c:spPr>
              <a:solidFill>
                <a:schemeClr val="accent5">
                  <a:lumMod val="40000"/>
                  <a:lumOff val="60000"/>
                </a:schemeClr>
              </a:solidFill>
            </c:spPr>
            <c:extLst>
              <c:ext xmlns:c16="http://schemas.microsoft.com/office/drawing/2014/chart" uri="{C3380CC4-5D6E-409C-BE32-E72D297353CC}">
                <c16:uniqueId val="{00000007-FD7A-4E07-A63D-4CF862CFBD10}"/>
              </c:ext>
            </c:extLst>
          </c:dPt>
          <c:dPt>
            <c:idx val="4"/>
            <c:bubble3D val="0"/>
            <c:spPr>
              <a:solidFill>
                <a:schemeClr val="accent2"/>
              </a:solidFill>
            </c:spPr>
            <c:extLst>
              <c:ext xmlns:c16="http://schemas.microsoft.com/office/drawing/2014/chart" uri="{C3380CC4-5D6E-409C-BE32-E72D297353CC}">
                <c16:uniqueId val="{00000009-FD7A-4E07-A63D-4CF862CFBD10}"/>
              </c:ext>
            </c:extLst>
          </c:dPt>
          <c:dPt>
            <c:idx val="5"/>
            <c:bubble3D val="0"/>
            <c:spPr>
              <a:solidFill>
                <a:schemeClr val="accent1">
                  <a:lumMod val="40000"/>
                  <a:lumOff val="60000"/>
                </a:schemeClr>
              </a:solidFill>
            </c:spPr>
            <c:extLst>
              <c:ext xmlns:c16="http://schemas.microsoft.com/office/drawing/2014/chart" uri="{C3380CC4-5D6E-409C-BE32-E72D297353CC}">
                <c16:uniqueId val="{0000000B-FD7A-4E07-A63D-4CF862CFBD10}"/>
              </c:ext>
            </c:extLst>
          </c:dPt>
          <c:dLbls>
            <c:dLbl>
              <c:idx val="0"/>
              <c:layout>
                <c:manualLayout>
                  <c:x val="0.15221841062192282"/>
                  <c:y val="-3.8756488772237348E-3"/>
                </c:manualLayout>
              </c:layout>
              <c:tx>
                <c:rich>
                  <a:bodyPr/>
                  <a:lstStyle/>
                  <a:p>
                    <a:r>
                      <a:rPr lang="ka-GE">
                        <a:solidFill>
                          <a:sysClr val="windowText" lastClr="000000"/>
                        </a:solidFill>
                      </a:rPr>
                      <a:t> საშინაო 
18%</a:t>
                    </a:r>
                    <a:endParaRPr lang="ka-GE">
                      <a:solidFill>
                        <a:schemeClr val="bg1"/>
                      </a:solidFill>
                    </a:endParaRP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D7A-4E07-A63D-4CF862CFBD10}"/>
                </c:ext>
              </c:extLst>
            </c:dLbl>
            <c:dLbl>
              <c:idx val="1"/>
              <c:tx>
                <c:rich>
                  <a:bodyPr/>
                  <a:lstStyle/>
                  <a:p>
                    <a:pPr>
                      <a:defRPr sz="800">
                        <a:solidFill>
                          <a:sysClr val="windowText" lastClr="000000"/>
                        </a:solidFill>
                        <a:latin typeface="Calibri" pitchFamily="34" charset="0"/>
                      </a:defRPr>
                    </a:pPr>
                    <a:r>
                      <a:rPr lang="ka-GE">
                        <a:solidFill>
                          <a:sysClr val="windowText" lastClr="000000"/>
                        </a:solidFill>
                      </a:rPr>
                      <a:t>მრავალმხრივი
60%</a:t>
                    </a:r>
                    <a:endParaRPr lang="ka-GE"/>
                  </a:p>
                </c:rich>
              </c:tx>
              <c:spPr>
                <a:noFill/>
              </c:spPr>
              <c:dLblPos val="ct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D7A-4E07-A63D-4CF862CFBD10}"/>
                </c:ext>
              </c:extLst>
            </c:dLbl>
            <c:dLbl>
              <c:idx val="2"/>
              <c:layout>
                <c:manualLayout>
                  <c:x val="-0.15877157499950911"/>
                  <c:y val="-2.9629629629629631E-2"/>
                </c:manualLayout>
              </c:layout>
              <c:tx>
                <c:rich>
                  <a:bodyPr/>
                  <a:lstStyle/>
                  <a:p>
                    <a:pPr>
                      <a:defRPr sz="900">
                        <a:solidFill>
                          <a:sysClr val="windowText" lastClr="000000"/>
                        </a:solidFill>
                        <a:latin typeface="Calibri" pitchFamily="34" charset="0"/>
                      </a:defRPr>
                    </a:pPr>
                    <a:r>
                      <a:rPr lang="ka-GE"/>
                      <a:t>ორმხრივი
14%</a:t>
                    </a:r>
                  </a:p>
                </c:rich>
              </c:tx>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D7A-4E07-A63D-4CF862CFBD10}"/>
                </c:ext>
              </c:extLst>
            </c:dLbl>
            <c:dLbl>
              <c:idx val="3"/>
              <c:layout>
                <c:manualLayout>
                  <c:x val="-0.14029659385127649"/>
                  <c:y val="-1.1851851851851851E-2"/>
                </c:manualLayout>
              </c:layout>
              <c:tx>
                <c:rich>
                  <a:bodyPr/>
                  <a:lstStyle/>
                  <a:p>
                    <a:pPr>
                      <a:defRPr sz="900" b="0">
                        <a:solidFill>
                          <a:sysClr val="windowText" lastClr="000000"/>
                        </a:solidFill>
                        <a:latin typeface="Calibri" pitchFamily="34" charset="0"/>
                      </a:defRPr>
                    </a:pPr>
                    <a:r>
                      <a:rPr lang="ka-GE" b="0">
                        <a:solidFill>
                          <a:sysClr val="windowText" lastClr="000000"/>
                        </a:solidFill>
                      </a:rPr>
                      <a:t>ევრობონდი
8 %</a:t>
                    </a:r>
                    <a:endParaRPr lang="ka-GE" b="0"/>
                  </a:p>
                </c:rich>
              </c:tx>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D7A-4E07-A63D-4CF862CFBD10}"/>
                </c:ext>
              </c:extLst>
            </c:dLbl>
            <c:dLbl>
              <c:idx val="4"/>
              <c:delete val="1"/>
              <c:extLst>
                <c:ext xmlns:c15="http://schemas.microsoft.com/office/drawing/2012/chart" uri="{CE6537A1-D6FC-4f65-9D91-7224C49458BB}"/>
                <c:ext xmlns:c16="http://schemas.microsoft.com/office/drawing/2014/chart" uri="{C3380CC4-5D6E-409C-BE32-E72D297353CC}">
                  <c16:uniqueId val="{00000009-FD7A-4E07-A63D-4CF862CFBD10}"/>
                </c:ext>
              </c:extLst>
            </c:dLbl>
            <c:dLbl>
              <c:idx val="5"/>
              <c:layout>
                <c:manualLayout>
                  <c:x val="-0.20375612780184579"/>
                  <c:y val="1.5154044062815437E-2"/>
                </c:manualLayout>
              </c:layout>
              <c:tx>
                <c:rich>
                  <a:bodyPr/>
                  <a:lstStyle/>
                  <a:p>
                    <a:pPr>
                      <a:defRPr sz="1000">
                        <a:solidFill>
                          <a:sysClr val="windowText" lastClr="000000"/>
                        </a:solidFill>
                        <a:latin typeface="Calibri" pitchFamily="34" charset="0"/>
                      </a:defRPr>
                    </a:pPr>
                    <a:r>
                      <a:rPr lang="ka-GE" dirty="0">
                        <a:solidFill>
                          <a:sysClr val="windowText" lastClr="000000"/>
                        </a:solidFill>
                      </a:rPr>
                      <a:t>საგარეო
82%</a:t>
                    </a:r>
                    <a:endParaRPr lang="ka-GE" dirty="0">
                      <a:solidFill>
                        <a:schemeClr val="bg1"/>
                      </a:solidFill>
                    </a:endParaRPr>
                  </a:p>
                </c:rich>
              </c:tx>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D7A-4E07-A63D-4CF862CFBD10}"/>
                </c:ext>
              </c:extLst>
            </c:dLbl>
            <c:spPr>
              <a:noFill/>
              <a:ln>
                <a:noFill/>
              </a:ln>
              <a:effectLst/>
            </c:spPr>
            <c:txPr>
              <a:bodyPr/>
              <a:lstStyle/>
              <a:p>
                <a:pPr>
                  <a:defRPr sz="1000">
                    <a:solidFill>
                      <a:sysClr val="windowText" lastClr="000000"/>
                    </a:solidFill>
                    <a:latin typeface="Calibri" pitchFamily="34" charset="0"/>
                  </a:defRPr>
                </a:pPr>
                <a:endParaRPr lang="en-US"/>
              </a:p>
            </c:txPr>
            <c:dLblPos val="ctr"/>
            <c:showLegendKey val="0"/>
            <c:showVal val="0"/>
            <c:showCatName val="1"/>
            <c:showSerName val="0"/>
            <c:showPercent val="1"/>
            <c:showBubbleSize val="0"/>
            <c:showLeaderLines val="0"/>
            <c:extLst>
              <c:ext xmlns:c15="http://schemas.microsoft.com/office/drawing/2012/chart" uri="{CE6537A1-D6FC-4f65-9D91-7224C49458BB}"/>
            </c:extLst>
          </c:dLbls>
          <c:cat>
            <c:strRef>
              <c:f>'AUG_2016_G '!$O$6:$O$10</c:f>
              <c:strCache>
                <c:ptCount val="5"/>
                <c:pt idx="0">
                  <c:v> საშინაო </c:v>
                </c:pt>
                <c:pt idx="1">
                  <c:v>მრავალმხრივი</c:v>
                </c:pt>
                <c:pt idx="2">
                  <c:v>ორმხრივი</c:v>
                </c:pt>
                <c:pt idx="3">
                  <c:v>ევრობონდი</c:v>
                </c:pt>
                <c:pt idx="4">
                  <c:v>გარანტირებული</c:v>
                </c:pt>
              </c:strCache>
            </c:strRef>
          </c:cat>
          <c:val>
            <c:numRef>
              <c:f>'AUG_2016_G '!$P$6:$P$10</c:f>
              <c:numCache>
                <c:formatCode>_(* #,##0_);_(* \(#,##0\);_(* "-"??_);_(@_)</c:formatCode>
                <c:ptCount val="5"/>
                <c:pt idx="0">
                  <c:v>3017790.89</c:v>
                </c:pt>
                <c:pt idx="1">
                  <c:v>7333619.5836991994</c:v>
                </c:pt>
                <c:pt idx="2">
                  <c:v>1757393.5431183998</c:v>
                </c:pt>
                <c:pt idx="3">
                  <c:v>1152800</c:v>
                </c:pt>
                <c:pt idx="4">
                  <c:v>4926.4815776000005</c:v>
                </c:pt>
              </c:numCache>
            </c:numRef>
          </c:val>
          <c:extLst>
            <c:ext xmlns:c16="http://schemas.microsoft.com/office/drawing/2014/chart" uri="{C3380CC4-5D6E-409C-BE32-E72D297353CC}">
              <c16:uniqueId val="{0000000C-FD7A-4E07-A63D-4CF862CFBD10}"/>
            </c:ext>
          </c:extLst>
        </c:ser>
        <c:dLbls>
          <c:showLegendKey val="0"/>
          <c:showVal val="0"/>
          <c:showCatName val="1"/>
          <c:showSerName val="0"/>
          <c:showPercent val="1"/>
          <c:showBubbleSize val="0"/>
          <c:showLeaderLines val="0"/>
        </c:dLbls>
        <c:gapWidth val="57"/>
        <c:splitType val="pos"/>
        <c:splitPos val="4"/>
        <c:secondPieSize val="100"/>
        <c:serLines/>
      </c:ofPieChart>
      <c:spPr>
        <a:noFill/>
        <a:ln w="25400">
          <a:noFill/>
        </a:ln>
      </c:spPr>
    </c:plotArea>
    <c:plotVisOnly val="1"/>
    <c:dispBlanksAs val="zero"/>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08820488348045"/>
          <c:y val="0.22660818713450293"/>
          <c:w val="0.82945995386940263"/>
          <c:h val="0.6007050927844545"/>
        </c:manualLayout>
      </c:layout>
      <c:barChart>
        <c:barDir val="col"/>
        <c:grouping val="stacked"/>
        <c:varyColors val="0"/>
        <c:ser>
          <c:idx val="0"/>
          <c:order val="0"/>
          <c:tx>
            <c:strRef>
              <c:f>ცხრილი1!$J$59</c:f>
              <c:strCache>
                <c:ptCount val="1"/>
                <c:pt idx="0">
                  <c:v>დამატებითი სესხების ეფექტი</c:v>
                </c:pt>
              </c:strCache>
            </c:strRef>
          </c:tx>
          <c:spPr>
            <a:solidFill>
              <a:srgbClr val="7AACF6"/>
            </a:solidFill>
            <a:ln>
              <a:noFill/>
            </a:ln>
            <a:effectLst>
              <a:outerShdw blurRad="40000" dist="23000" dir="5400000" rotWithShape="0">
                <a:srgbClr val="000000">
                  <a:alpha val="35000"/>
                </a:srgbClr>
              </a:outerShdw>
            </a:effectLst>
          </c:spPr>
          <c:invertIfNegative val="0"/>
          <c:cat>
            <c:strRef>
              <c:f>ცხრილი1!$D$60:$D$66</c:f>
              <c:strCache>
                <c:ptCount val="7"/>
                <c:pt idx="0">
                  <c:v>USD</c:v>
                </c:pt>
                <c:pt idx="1">
                  <c:v>SDR</c:v>
                </c:pt>
                <c:pt idx="2">
                  <c:v>EUR</c:v>
                </c:pt>
                <c:pt idx="3">
                  <c:v>KWD</c:v>
                </c:pt>
                <c:pt idx="4">
                  <c:v>JPY</c:v>
                </c:pt>
                <c:pt idx="5">
                  <c:v>CNY</c:v>
                </c:pt>
                <c:pt idx="6">
                  <c:v>სულ</c:v>
                </c:pt>
              </c:strCache>
            </c:strRef>
          </c:cat>
          <c:val>
            <c:numRef>
              <c:f>ცხრილი1!$J$60:$J$66</c:f>
              <c:numCache>
                <c:formatCode>_(* #,##0.0_);_(* \(#,##0.0\);_(* "-"??_);_(@_)</c:formatCode>
                <c:ptCount val="7"/>
                <c:pt idx="0">
                  <c:v>177.65402157837897</c:v>
                </c:pt>
                <c:pt idx="1">
                  <c:v>-320.54674021504542</c:v>
                </c:pt>
                <c:pt idx="2">
                  <c:v>866.07719097619042</c:v>
                </c:pt>
                <c:pt idx="3">
                  <c:v>-4.2130392568932145</c:v>
                </c:pt>
                <c:pt idx="4">
                  <c:v>0.52460062481160274</c:v>
                </c:pt>
                <c:pt idx="5">
                  <c:v>-1.1949299982749999</c:v>
                </c:pt>
                <c:pt idx="6">
                  <c:v>718.30110370916736</c:v>
                </c:pt>
              </c:numCache>
            </c:numRef>
          </c:val>
          <c:extLst>
            <c:ext xmlns:c16="http://schemas.microsoft.com/office/drawing/2014/chart" uri="{C3380CC4-5D6E-409C-BE32-E72D297353CC}">
              <c16:uniqueId val="{00000000-CF2D-4962-8491-32077CA2DBB8}"/>
            </c:ext>
          </c:extLst>
        </c:ser>
        <c:ser>
          <c:idx val="1"/>
          <c:order val="1"/>
          <c:tx>
            <c:strRef>
              <c:f>ცხრილი1!$K$59</c:f>
              <c:strCache>
                <c:ptCount val="1"/>
                <c:pt idx="0">
                  <c:v>გაცვლითი კურსის ეფექტი</c:v>
                </c:pt>
              </c:strCache>
            </c:strRef>
          </c:tx>
          <c:spPr>
            <a:solidFill>
              <a:srgbClr val="A3CF9D"/>
            </a:solidFill>
            <a:ln>
              <a:noFill/>
            </a:ln>
            <a:effectLst>
              <a:outerShdw blurRad="40000" dist="23000" dir="5400000" rotWithShape="0">
                <a:srgbClr val="000000">
                  <a:alpha val="35000"/>
                </a:srgbClr>
              </a:outerShdw>
            </a:effectLst>
          </c:spPr>
          <c:invertIfNegative val="0"/>
          <c:cat>
            <c:strRef>
              <c:f>ცხრილი1!$D$60:$D$66</c:f>
              <c:strCache>
                <c:ptCount val="7"/>
                <c:pt idx="0">
                  <c:v>USD</c:v>
                </c:pt>
                <c:pt idx="1">
                  <c:v>SDR</c:v>
                </c:pt>
                <c:pt idx="2">
                  <c:v>EUR</c:v>
                </c:pt>
                <c:pt idx="3">
                  <c:v>KWD</c:v>
                </c:pt>
                <c:pt idx="4">
                  <c:v>JPY</c:v>
                </c:pt>
                <c:pt idx="5">
                  <c:v>CNY</c:v>
                </c:pt>
                <c:pt idx="6">
                  <c:v>სულ</c:v>
                </c:pt>
              </c:strCache>
            </c:strRef>
          </c:cat>
          <c:val>
            <c:numRef>
              <c:f>ცხრილი1!$K$60:$K$66</c:f>
              <c:numCache>
                <c:formatCode>_(* #,##0.0_);_(* \(#,##0.0\);_(* "-"??_);_(@_)</c:formatCode>
                <c:ptCount val="7"/>
                <c:pt idx="0">
                  <c:v>151.0222341864137</c:v>
                </c:pt>
                <c:pt idx="1">
                  <c:v>41.253946174441836</c:v>
                </c:pt>
                <c:pt idx="2">
                  <c:v>-41.765981810277793</c:v>
                </c:pt>
                <c:pt idx="3">
                  <c:v>0.72067096696008226</c:v>
                </c:pt>
                <c:pt idx="4">
                  <c:v>29.421461827164631</c:v>
                </c:pt>
                <c:pt idx="5">
                  <c:v>-0.10475999310000043</c:v>
                </c:pt>
                <c:pt idx="6">
                  <c:v>180.54757135160244</c:v>
                </c:pt>
              </c:numCache>
            </c:numRef>
          </c:val>
          <c:extLst>
            <c:ext xmlns:c16="http://schemas.microsoft.com/office/drawing/2014/chart" uri="{C3380CC4-5D6E-409C-BE32-E72D297353CC}">
              <c16:uniqueId val="{00000001-CF2D-4962-8491-32077CA2DBB8}"/>
            </c:ext>
          </c:extLst>
        </c:ser>
        <c:dLbls>
          <c:showLegendKey val="0"/>
          <c:showVal val="0"/>
          <c:showCatName val="0"/>
          <c:showSerName val="0"/>
          <c:showPercent val="0"/>
          <c:showBubbleSize val="0"/>
        </c:dLbls>
        <c:gapWidth val="100"/>
        <c:overlap val="100"/>
        <c:axId val="1182271632"/>
        <c:axId val="1182264560"/>
      </c:barChart>
      <c:lineChart>
        <c:grouping val="standard"/>
        <c:varyColors val="0"/>
        <c:ser>
          <c:idx val="2"/>
          <c:order val="2"/>
          <c:tx>
            <c:strRef>
              <c:f>ცხრილი1!$L$59</c:f>
              <c:strCache>
                <c:ptCount val="1"/>
                <c:pt idx="0">
                  <c:v>ჯამური ეფექტი</c:v>
                </c:pt>
              </c:strCache>
            </c:strRef>
          </c:tx>
          <c:spPr>
            <a:ln w="31750" cap="rnd">
              <a:solidFill>
                <a:schemeClr val="accent3"/>
              </a:solidFill>
              <a:round/>
            </a:ln>
            <a:effectLst>
              <a:outerShdw blurRad="40000" dist="23000" dir="5400000" rotWithShape="0">
                <a:srgbClr val="000000">
                  <a:alpha val="35000"/>
                </a:srgbClr>
              </a:outerShdw>
            </a:effectLst>
          </c:spPr>
          <c:marker>
            <c:symbol val="circle"/>
            <c:size val="6"/>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12700">
                <a:solidFill>
                  <a:schemeClr val="bg1"/>
                </a:solidFill>
                <a:round/>
              </a:ln>
              <a:effectLst>
                <a:outerShdw blurRad="40000" dist="23000" dir="5400000" rotWithShape="0">
                  <a:srgbClr val="000000">
                    <a:alpha val="35000"/>
                  </a:srgbClr>
                </a:outerShdw>
              </a:effectLst>
            </c:spPr>
          </c:marker>
          <c:dLbls>
            <c:dLbl>
              <c:idx val="0"/>
              <c:layout>
                <c:manualLayout>
                  <c:x val="-8.4175084175084194E-2"/>
                  <c:y val="-5.84795321637427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F2D-4962-8491-32077CA2DBB8}"/>
                </c:ext>
              </c:extLst>
            </c:dLbl>
            <c:dLbl>
              <c:idx val="1"/>
              <c:layout>
                <c:manualLayout>
                  <c:x val="-0.10521885521885523"/>
                  <c:y val="7.7160493827160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2D-4962-8491-32077CA2DBB8}"/>
                </c:ext>
              </c:extLst>
            </c:dLbl>
            <c:dLbl>
              <c:idx val="2"/>
              <c:layout>
                <c:manualLayout>
                  <c:x val="-9.2592592592592671E-2"/>
                  <c:y val="-5.4012345679012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F2D-4962-8491-32077CA2DBB8}"/>
                </c:ext>
              </c:extLst>
            </c:dLbl>
            <c:dLbl>
              <c:idx val="3"/>
              <c:layout>
                <c:manualLayout>
                  <c:x val="-5.8922558922559001E-2"/>
                  <c:y val="8.04093567251461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F2D-4962-8491-32077CA2DBB8}"/>
                </c:ext>
              </c:extLst>
            </c:dLbl>
            <c:dLbl>
              <c:idx val="4"/>
              <c:layout>
                <c:manualLayout>
                  <c:x val="-8.8383838383838384E-2"/>
                  <c:y val="-7.30994152046782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F2D-4962-8491-32077CA2DBB8}"/>
                </c:ext>
              </c:extLst>
            </c:dLbl>
            <c:dLbl>
              <c:idx val="5"/>
              <c:layout>
                <c:manualLayout>
                  <c:x val="-7.1548821548821626E-2"/>
                  <c:y val="6.5789473684210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F2D-4962-8491-32077CA2DBB8}"/>
                </c:ext>
              </c:extLst>
            </c:dLbl>
            <c:dLbl>
              <c:idx val="6"/>
              <c:layout>
                <c:manualLayout>
                  <c:x val="-1.893939393939394E-2"/>
                  <c:y val="-5.70173519976669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F2D-4962-8491-32077CA2DBB8}"/>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PG Arial" panose="020B0604020202020204" pitchFamily="34" charset="0"/>
                    <a:ea typeface="+mn-ea"/>
                    <a:cs typeface="BPG 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ცხრილი1!$D$60:$D$66</c:f>
              <c:strCache>
                <c:ptCount val="7"/>
                <c:pt idx="0">
                  <c:v>USD</c:v>
                </c:pt>
                <c:pt idx="1">
                  <c:v>SDR</c:v>
                </c:pt>
                <c:pt idx="2">
                  <c:v>EUR</c:v>
                </c:pt>
                <c:pt idx="3">
                  <c:v>KWD</c:v>
                </c:pt>
                <c:pt idx="4">
                  <c:v>JPY</c:v>
                </c:pt>
                <c:pt idx="5">
                  <c:v>CNY</c:v>
                </c:pt>
                <c:pt idx="6">
                  <c:v>სულ</c:v>
                </c:pt>
              </c:strCache>
            </c:strRef>
          </c:cat>
          <c:val>
            <c:numRef>
              <c:f>ცხრილი1!$L$60:$L$66</c:f>
              <c:numCache>
                <c:formatCode>_(* #,##0.0_);_(* \(#,##0.0\);_(* "-"??_);_(@_)</c:formatCode>
                <c:ptCount val="7"/>
                <c:pt idx="0">
                  <c:v>328.6762557647927</c:v>
                </c:pt>
                <c:pt idx="1">
                  <c:v>-279.29279404060355</c:v>
                </c:pt>
                <c:pt idx="2">
                  <c:v>824.3112091659126</c:v>
                </c:pt>
                <c:pt idx="3">
                  <c:v>-3.4923682899331325</c:v>
                </c:pt>
                <c:pt idx="4">
                  <c:v>29.946062451976236</c:v>
                </c:pt>
                <c:pt idx="5">
                  <c:v>-1.2996899913750004</c:v>
                </c:pt>
                <c:pt idx="6">
                  <c:v>898.84867506076989</c:v>
                </c:pt>
              </c:numCache>
            </c:numRef>
          </c:val>
          <c:smooth val="1"/>
          <c:extLst>
            <c:ext xmlns:c16="http://schemas.microsoft.com/office/drawing/2014/chart" uri="{C3380CC4-5D6E-409C-BE32-E72D297353CC}">
              <c16:uniqueId val="{00000009-CF2D-4962-8491-32077CA2DBB8}"/>
            </c:ext>
          </c:extLst>
        </c:ser>
        <c:dLbls>
          <c:showLegendKey val="0"/>
          <c:showVal val="0"/>
          <c:showCatName val="0"/>
          <c:showSerName val="0"/>
          <c:showPercent val="0"/>
          <c:showBubbleSize val="0"/>
        </c:dLbls>
        <c:marker val="1"/>
        <c:smooth val="0"/>
        <c:axId val="795480703"/>
        <c:axId val="795474047"/>
      </c:lineChart>
      <c:catAx>
        <c:axId val="1182271632"/>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PG Arial" panose="020B0604020202020204" pitchFamily="34" charset="0"/>
                <a:ea typeface="+mn-ea"/>
                <a:cs typeface="BPG Arial" panose="020B0604020202020204" pitchFamily="34" charset="0"/>
              </a:defRPr>
            </a:pPr>
            <a:endParaRPr lang="en-US"/>
          </a:p>
        </c:txPr>
        <c:crossAx val="1182264560"/>
        <c:crosses val="autoZero"/>
        <c:auto val="1"/>
        <c:lblAlgn val="ctr"/>
        <c:lblOffset val="100"/>
        <c:noMultiLvlLbl val="0"/>
      </c:catAx>
      <c:valAx>
        <c:axId val="118226456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PG Arial" panose="020B0604020202020204" pitchFamily="34" charset="0"/>
                <a:ea typeface="+mn-ea"/>
                <a:cs typeface="BPG Arial" panose="020B0604020202020204" pitchFamily="34" charset="0"/>
              </a:defRPr>
            </a:pPr>
            <a:endParaRPr lang="en-US"/>
          </a:p>
        </c:txPr>
        <c:crossAx val="1182271632"/>
        <c:crosses val="autoZero"/>
        <c:crossBetween val="between"/>
        <c:majorUnit val="250"/>
      </c:valAx>
      <c:valAx>
        <c:axId val="795474047"/>
        <c:scaling>
          <c:orientation val="minMax"/>
        </c:scaling>
        <c:delete val="1"/>
        <c:axPos val="r"/>
        <c:numFmt formatCode="#,##0" sourceLinked="0"/>
        <c:majorTickMark val="out"/>
        <c:minorTickMark val="none"/>
        <c:tickLblPos val="nextTo"/>
        <c:crossAx val="795480703"/>
        <c:crosses val="max"/>
        <c:crossBetween val="between"/>
        <c:majorUnit val="250"/>
      </c:valAx>
      <c:catAx>
        <c:axId val="795480703"/>
        <c:scaling>
          <c:orientation val="minMax"/>
        </c:scaling>
        <c:delete val="1"/>
        <c:axPos val="b"/>
        <c:numFmt formatCode="General" sourceLinked="1"/>
        <c:majorTickMark val="out"/>
        <c:minorTickMark val="none"/>
        <c:tickLblPos val="nextTo"/>
        <c:crossAx val="795474047"/>
        <c:crosses val="autoZero"/>
        <c:auto val="1"/>
        <c:lblAlgn val="ctr"/>
        <c:lblOffset val="100"/>
        <c:noMultiLvlLbl val="0"/>
      </c:catAx>
      <c:spPr>
        <a:noFill/>
        <a:ln>
          <a:noFill/>
        </a:ln>
        <a:effectLst/>
      </c:spPr>
    </c:plotArea>
    <c:legend>
      <c:legendPos val="b"/>
      <c:layout>
        <c:manualLayout>
          <c:xMode val="edge"/>
          <c:yMode val="edge"/>
          <c:x val="0.19408653463771575"/>
          <c:y val="3.2998342312473947E-3"/>
          <c:w val="0.66233164983164983"/>
          <c:h val="0.18529665699682277"/>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PG Arial" panose="020B0604020202020204" pitchFamily="34" charset="0"/>
              <a:ea typeface="+mn-ea"/>
              <a:cs typeface="BPG 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BPG Arial" panose="020B0604020202020204" pitchFamily="34" charset="0"/>
          <a:cs typeface="BPG 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23878265216848"/>
          <c:y val="0.1601825720191653"/>
          <c:w val="0.82657949006374198"/>
          <c:h val="0.76772776695781009"/>
        </c:manualLayout>
      </c:layout>
      <c:barChart>
        <c:barDir val="col"/>
        <c:grouping val="stacked"/>
        <c:varyColors val="0"/>
        <c:ser>
          <c:idx val="0"/>
          <c:order val="0"/>
          <c:tx>
            <c:strRef>
              <c:f>' Domestic_graph'!$B$43</c:f>
              <c:strCache>
                <c:ptCount val="1"/>
                <c:pt idx="0">
                  <c:v>ბიუჯეტში შემოსული თანხა</c:v>
                </c:pt>
              </c:strCache>
            </c:strRef>
          </c:tx>
          <c:spPr>
            <a:solidFill>
              <a:srgbClr val="7AACF6"/>
            </a:solidFill>
            <a:ln>
              <a:noFill/>
            </a:ln>
            <a:effectLst/>
          </c:spPr>
          <c:invertIfNegative val="0"/>
          <c:cat>
            <c:strRef>
              <c:f>' Domestic_graph'!$A$44:$A$49</c:f>
              <c:strCache>
                <c:ptCount val="6"/>
                <c:pt idx="0">
                  <c:v>6 თ</c:v>
                </c:pt>
                <c:pt idx="1">
                  <c:v>12 თ</c:v>
                </c:pt>
                <c:pt idx="2">
                  <c:v>2 წ</c:v>
                </c:pt>
                <c:pt idx="3">
                  <c:v>5 წ</c:v>
                </c:pt>
                <c:pt idx="4">
                  <c:v>10 წ</c:v>
                </c:pt>
                <c:pt idx="5">
                  <c:v>სახ. ობლ.</c:v>
                </c:pt>
              </c:strCache>
            </c:strRef>
          </c:cat>
          <c:val>
            <c:numRef>
              <c:f>' Domestic_graph'!$B$44:$B$49</c:f>
              <c:numCache>
                <c:formatCode>_(* #,##0_);_(* \(#,##0\);_(* "-"??_);_(@_)</c:formatCode>
                <c:ptCount val="6"/>
                <c:pt idx="0" formatCode="_(* #,##0.00_);_(* \(#,##0.00\);_(* &quot;-&quot;??_);_(@_)">
                  <c:v>231658.33131000001</c:v>
                </c:pt>
                <c:pt idx="1">
                  <c:v>447583.5612</c:v>
                </c:pt>
                <c:pt idx="2">
                  <c:v>488968.16855</c:v>
                </c:pt>
                <c:pt idx="3">
                  <c:v>367242.06703999999</c:v>
                </c:pt>
                <c:pt idx="4">
                  <c:v>103087.02145999999</c:v>
                </c:pt>
              </c:numCache>
            </c:numRef>
          </c:val>
          <c:extLst>
            <c:ext xmlns:c16="http://schemas.microsoft.com/office/drawing/2014/chart" uri="{C3380CC4-5D6E-409C-BE32-E72D297353CC}">
              <c16:uniqueId val="{00000000-DDDF-49F9-9FF4-D5FD1F51995F}"/>
            </c:ext>
          </c:extLst>
        </c:ser>
        <c:ser>
          <c:idx val="1"/>
          <c:order val="1"/>
          <c:tx>
            <c:strRef>
              <c:f>' Domestic_graph'!$C$43</c:f>
              <c:strCache>
                <c:ptCount val="1"/>
                <c:pt idx="0">
                  <c:v>ძირითადი თანხის დაფარვა</c:v>
                </c:pt>
              </c:strCache>
            </c:strRef>
          </c:tx>
          <c:spPr>
            <a:solidFill>
              <a:srgbClr val="A3CF9D"/>
            </a:solidFill>
            <a:ln>
              <a:noFill/>
            </a:ln>
            <a:effectLst>
              <a:outerShdw blurRad="50800" dist="38100" dir="5400000" algn="t" rotWithShape="0">
                <a:prstClr val="black">
                  <a:alpha val="40000"/>
                </a:prstClr>
              </a:outerShdw>
            </a:effectLst>
          </c:spPr>
          <c:invertIfNegative val="0"/>
          <c:cat>
            <c:strRef>
              <c:f>' Domestic_graph'!$A$44:$A$49</c:f>
              <c:strCache>
                <c:ptCount val="6"/>
                <c:pt idx="0">
                  <c:v>6 თ</c:v>
                </c:pt>
                <c:pt idx="1">
                  <c:v>12 თ</c:v>
                </c:pt>
                <c:pt idx="2">
                  <c:v>2 წ</c:v>
                </c:pt>
                <c:pt idx="3">
                  <c:v>5 წ</c:v>
                </c:pt>
                <c:pt idx="4">
                  <c:v>10 წ</c:v>
                </c:pt>
                <c:pt idx="5">
                  <c:v>სახ. ობლ.</c:v>
                </c:pt>
              </c:strCache>
            </c:strRef>
          </c:cat>
          <c:val>
            <c:numRef>
              <c:f>' Domestic_graph'!$C$44:$C$49</c:f>
              <c:numCache>
                <c:formatCode>0</c:formatCode>
                <c:ptCount val="6"/>
                <c:pt idx="0">
                  <c:v>-231668.75105000002</c:v>
                </c:pt>
                <c:pt idx="1">
                  <c:v>-544670.05804999999</c:v>
                </c:pt>
                <c:pt idx="2">
                  <c:v>-357684.39325999998</c:v>
                </c:pt>
                <c:pt idx="3">
                  <c:v>-81874.00162000001</c:v>
                </c:pt>
                <c:pt idx="4">
                  <c:v>-332.59040000000005</c:v>
                </c:pt>
                <c:pt idx="5">
                  <c:v>-35000</c:v>
                </c:pt>
              </c:numCache>
            </c:numRef>
          </c:val>
          <c:extLst>
            <c:ext xmlns:c16="http://schemas.microsoft.com/office/drawing/2014/chart" uri="{C3380CC4-5D6E-409C-BE32-E72D297353CC}">
              <c16:uniqueId val="{00000001-DDDF-49F9-9FF4-D5FD1F51995F}"/>
            </c:ext>
          </c:extLst>
        </c:ser>
        <c:dLbls>
          <c:showLegendKey val="0"/>
          <c:showVal val="0"/>
          <c:showCatName val="0"/>
          <c:showSerName val="0"/>
          <c:showPercent val="0"/>
          <c:showBubbleSize val="0"/>
        </c:dLbls>
        <c:gapWidth val="101"/>
        <c:overlap val="100"/>
        <c:axId val="153848015"/>
        <c:axId val="153837199"/>
      </c:barChart>
      <c:catAx>
        <c:axId val="153848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PG Arial" panose="020B0604020202020204" pitchFamily="34" charset="0"/>
                <a:ea typeface="+mn-ea"/>
                <a:cs typeface="BPG Arial" panose="020B0604020202020204" pitchFamily="34" charset="0"/>
              </a:defRPr>
            </a:pPr>
            <a:endParaRPr lang="en-US"/>
          </a:p>
        </c:txPr>
        <c:crossAx val="153837199"/>
        <c:crosses val="autoZero"/>
        <c:auto val="1"/>
        <c:lblAlgn val="ctr"/>
        <c:lblOffset val="100"/>
        <c:noMultiLvlLbl val="0"/>
      </c:catAx>
      <c:valAx>
        <c:axId val="153837199"/>
        <c:scaling>
          <c:orientation val="minMax"/>
          <c:max val="550000"/>
          <c:min val="-55000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PG Arial" panose="020B0604020202020204" pitchFamily="34" charset="0"/>
                <a:ea typeface="+mn-ea"/>
                <a:cs typeface="BPG Arial" panose="020B0604020202020204" pitchFamily="34" charset="0"/>
              </a:defRPr>
            </a:pPr>
            <a:endParaRPr lang="en-US"/>
          </a:p>
        </c:txPr>
        <c:crossAx val="153848015"/>
        <c:crosses val="autoZero"/>
        <c:crossBetween val="between"/>
        <c:dispUnits>
          <c:builtInUnit val="thousands"/>
        </c:dispUnits>
      </c:valAx>
      <c:spPr>
        <a:noFill/>
        <a:ln>
          <a:noFill/>
        </a:ln>
        <a:effectLst/>
      </c:spPr>
    </c:plotArea>
    <c:legend>
      <c:legendPos val="b"/>
      <c:layout>
        <c:manualLayout>
          <c:xMode val="edge"/>
          <c:yMode val="edge"/>
          <c:x val="6.5873015873015875E-2"/>
          <c:y val="2.9589571409795269E-2"/>
          <c:w val="0.9"/>
          <c:h val="0.163820347831691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PG Arial" panose="020B0604020202020204" pitchFamily="34" charset="0"/>
              <a:ea typeface="+mn-ea"/>
              <a:cs typeface="BPG 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7546556680415"/>
          <c:y val="0.26131137952535194"/>
          <c:w val="0.80859455068116481"/>
          <c:h val="0.50331128020349947"/>
        </c:manualLayout>
      </c:layout>
      <c:barChart>
        <c:barDir val="col"/>
        <c:grouping val="stacked"/>
        <c:varyColors val="0"/>
        <c:ser>
          <c:idx val="0"/>
          <c:order val="0"/>
          <c:tx>
            <c:strRef>
              <c:f>GDP!$G$26</c:f>
              <c:strCache>
                <c:ptCount val="1"/>
                <c:pt idx="0">
                  <c:v>მთავრობის მთლიანი ვალი %-ად მშპ-თან</c:v>
                </c:pt>
              </c:strCache>
            </c:strRef>
          </c:tx>
          <c:spPr>
            <a:solidFill>
              <a:srgbClr val="7AACF6"/>
            </a:solidFill>
            <a:ln>
              <a:noFill/>
            </a:ln>
            <a:effectLst>
              <a:outerShdw blurRad="50800" dist="38100" dir="5400000" algn="t"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GDP!$F$27:$F$28</c:f>
              <c:numCache>
                <c:formatCode>General</c:formatCode>
                <c:ptCount val="2"/>
                <c:pt idx="0">
                  <c:v>2017</c:v>
                </c:pt>
                <c:pt idx="1">
                  <c:v>2018</c:v>
                </c:pt>
              </c:numCache>
            </c:numRef>
          </c:cat>
          <c:val>
            <c:numRef>
              <c:f>GDP!$G$27:$G$28</c:f>
              <c:numCache>
                <c:formatCode>0.0%</c:formatCode>
                <c:ptCount val="2"/>
                <c:pt idx="0">
                  <c:v>0.42440980772811254</c:v>
                </c:pt>
                <c:pt idx="1">
                  <c:v>0.41794422779232737</c:v>
                </c:pt>
              </c:numCache>
            </c:numRef>
          </c:val>
          <c:extLst>
            <c:ext xmlns:c16="http://schemas.microsoft.com/office/drawing/2014/chart" uri="{C3380CC4-5D6E-409C-BE32-E72D297353CC}">
              <c16:uniqueId val="{00000000-9FF4-4C51-8B80-17EDC49A4F37}"/>
            </c:ext>
          </c:extLst>
        </c:ser>
        <c:ser>
          <c:idx val="1"/>
          <c:order val="1"/>
          <c:tx>
            <c:strRef>
              <c:f>GDP!$H$26</c:f>
              <c:strCache>
                <c:ptCount val="1"/>
                <c:pt idx="0">
                  <c:v>გაცვლითი კურსის ეფექტი</c:v>
                </c:pt>
              </c:strCache>
            </c:strRef>
          </c:tx>
          <c:spPr>
            <a:solidFill>
              <a:srgbClr val="A3CF9D"/>
            </a:solidFill>
            <a:ln>
              <a:solidFill>
                <a:schemeClr val="bg1"/>
              </a:solidFill>
            </a:ln>
            <a:effectLst>
              <a:outerShdw blurRad="50800" dist="12700" dir="5400000" algn="t" rotWithShape="0">
                <a:prstClr val="black">
                  <a:alpha val="40000"/>
                </a:prstClr>
              </a:outerShdw>
            </a:effectLst>
          </c:spPr>
          <c:invertIfNegative val="0"/>
          <c:dPt>
            <c:idx val="1"/>
            <c:invertIfNegative val="0"/>
            <c:bubble3D val="0"/>
            <c:spPr>
              <a:solidFill>
                <a:srgbClr val="A3CF9D"/>
              </a:solidFill>
              <a:ln>
                <a:noFill/>
              </a:ln>
              <a:effectLst>
                <a:outerShdw blurRad="50800" dist="12700" dir="5400000" algn="t" rotWithShape="0">
                  <a:prstClr val="black">
                    <a:alpha val="40000"/>
                  </a:prstClr>
                </a:outerShdw>
              </a:effectLst>
            </c:spPr>
            <c:extLst>
              <c:ext xmlns:c16="http://schemas.microsoft.com/office/drawing/2014/chart" uri="{C3380CC4-5D6E-409C-BE32-E72D297353CC}">
                <c16:uniqueId val="{00000002-9FF4-4C51-8B80-17EDC49A4F37}"/>
              </c:ext>
            </c:extLst>
          </c:dPt>
          <c:dLbls>
            <c:dLbl>
              <c:idx val="0"/>
              <c:delete val="1"/>
              <c:extLst>
                <c:ext xmlns:c15="http://schemas.microsoft.com/office/drawing/2012/chart" uri="{CE6537A1-D6FC-4f65-9D91-7224C49458BB}"/>
                <c:ext xmlns:c16="http://schemas.microsoft.com/office/drawing/2014/chart" uri="{C3380CC4-5D6E-409C-BE32-E72D297353CC}">
                  <c16:uniqueId val="{00000003-9FF4-4C51-8B80-17EDC49A4F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GDP!$F$27:$F$28</c:f>
              <c:numCache>
                <c:formatCode>General</c:formatCode>
                <c:ptCount val="2"/>
                <c:pt idx="0">
                  <c:v>2017</c:v>
                </c:pt>
                <c:pt idx="1">
                  <c:v>2018</c:v>
                </c:pt>
              </c:numCache>
            </c:numRef>
          </c:cat>
          <c:val>
            <c:numRef>
              <c:f>GDP!$H$27:$H$28</c:f>
              <c:numCache>
                <c:formatCode>0.0%</c:formatCode>
                <c:ptCount val="2"/>
                <c:pt idx="0">
                  <c:v>0</c:v>
                </c:pt>
                <c:pt idx="1">
                  <c:v>4.3952957806078774E-3</c:v>
                </c:pt>
              </c:numCache>
            </c:numRef>
          </c:val>
          <c:extLst>
            <c:ext xmlns:c16="http://schemas.microsoft.com/office/drawing/2014/chart" uri="{C3380CC4-5D6E-409C-BE32-E72D297353CC}">
              <c16:uniqueId val="{00000004-9FF4-4C51-8B80-17EDC49A4F37}"/>
            </c:ext>
          </c:extLst>
        </c:ser>
        <c:dLbls>
          <c:dLblPos val="ctr"/>
          <c:showLegendKey val="0"/>
          <c:showVal val="1"/>
          <c:showCatName val="0"/>
          <c:showSerName val="0"/>
          <c:showPercent val="0"/>
          <c:showBubbleSize val="0"/>
        </c:dLbls>
        <c:gapWidth val="188"/>
        <c:overlap val="100"/>
        <c:axId val="297093007"/>
        <c:axId val="297104239"/>
      </c:barChart>
      <c:catAx>
        <c:axId val="297093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104239"/>
        <c:crosses val="autoZero"/>
        <c:auto val="1"/>
        <c:lblAlgn val="ctr"/>
        <c:lblOffset val="100"/>
        <c:noMultiLvlLbl val="0"/>
      </c:catAx>
      <c:valAx>
        <c:axId val="297104239"/>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PG Arial" panose="020B0604020202020204" pitchFamily="34" charset="0"/>
                <a:ea typeface="+mn-ea"/>
                <a:cs typeface="BPG Arial" panose="020B0604020202020204" pitchFamily="34" charset="0"/>
              </a:defRPr>
            </a:pPr>
            <a:endParaRPr lang="en-US"/>
          </a:p>
        </c:txPr>
        <c:crossAx val="297093007"/>
        <c:crosses val="autoZero"/>
        <c:crossBetween val="between"/>
      </c:valAx>
      <c:spPr>
        <a:noFill/>
        <a:ln>
          <a:noFill/>
        </a:ln>
        <a:effectLst/>
      </c:spPr>
    </c:plotArea>
    <c:legend>
      <c:legendPos val="b"/>
      <c:layout>
        <c:manualLayout>
          <c:xMode val="edge"/>
          <c:yMode val="edge"/>
          <c:x val="0.13636576677915263"/>
          <c:y val="3.8718968818456212E-2"/>
          <c:w val="0.71933164604424449"/>
          <c:h val="0.2027041874322592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PG Arial" panose="020B0604020202020204" pitchFamily="34" charset="0"/>
              <a:ea typeface="+mn-ea"/>
              <a:cs typeface="BPG 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40"/>
      <c:rotY val="50"/>
      <c:rAngAx val="0"/>
    </c:view3D>
    <c:floor>
      <c:thickness val="0"/>
    </c:floor>
    <c:sideWall>
      <c:thickness val="0"/>
    </c:sideWall>
    <c:backWall>
      <c:thickness val="0"/>
    </c:backWall>
    <c:plotArea>
      <c:layout>
        <c:manualLayout>
          <c:layoutTarget val="inner"/>
          <c:xMode val="edge"/>
          <c:yMode val="edge"/>
          <c:x val="0.18257533861778982"/>
          <c:y val="0.25790341207349082"/>
          <c:w val="0.70685416831257286"/>
          <c:h val="0.69605459317585305"/>
        </c:manualLayout>
      </c:layout>
      <c:pie3DChart>
        <c:varyColors val="1"/>
        <c:ser>
          <c:idx val="0"/>
          <c:order val="0"/>
          <c:explosion val="8"/>
          <c:dPt>
            <c:idx val="0"/>
            <c:bubble3D val="0"/>
            <c:spPr>
              <a:solidFill>
                <a:schemeClr val="accent5"/>
              </a:solidFill>
            </c:spPr>
            <c:extLst>
              <c:ext xmlns:c16="http://schemas.microsoft.com/office/drawing/2014/chart" uri="{C3380CC4-5D6E-409C-BE32-E72D297353CC}">
                <c16:uniqueId val="{00000001-7E72-4AD5-9956-34AE7C0EC15A}"/>
              </c:ext>
            </c:extLst>
          </c:dPt>
          <c:dPt>
            <c:idx val="1"/>
            <c:bubble3D val="0"/>
            <c:spPr>
              <a:solidFill>
                <a:schemeClr val="accent4">
                  <a:lumMod val="60000"/>
                  <a:lumOff val="40000"/>
                </a:schemeClr>
              </a:solidFill>
            </c:spPr>
            <c:extLst>
              <c:ext xmlns:c16="http://schemas.microsoft.com/office/drawing/2014/chart" uri="{C3380CC4-5D6E-409C-BE32-E72D297353CC}">
                <c16:uniqueId val="{00000003-7E72-4AD5-9956-34AE7C0EC15A}"/>
              </c:ext>
            </c:extLst>
          </c:dPt>
          <c:dPt>
            <c:idx val="2"/>
            <c:bubble3D val="0"/>
            <c:spPr>
              <a:solidFill>
                <a:schemeClr val="accent5">
                  <a:lumMod val="40000"/>
                  <a:lumOff val="60000"/>
                </a:schemeClr>
              </a:solidFill>
              <a:ln>
                <a:solidFill>
                  <a:schemeClr val="accent1"/>
                </a:solidFill>
              </a:ln>
            </c:spPr>
            <c:extLst>
              <c:ext xmlns:c16="http://schemas.microsoft.com/office/drawing/2014/chart" uri="{C3380CC4-5D6E-409C-BE32-E72D297353CC}">
                <c16:uniqueId val="{00000005-7E72-4AD5-9956-34AE7C0EC15A}"/>
              </c:ext>
            </c:extLst>
          </c:dPt>
          <c:dLbls>
            <c:dLbl>
              <c:idx val="0"/>
              <c:layout>
                <c:manualLayout>
                  <c:x val="-0.17377581694188632"/>
                  <c:y val="-5.5338764599302918E-2"/>
                </c:manualLayout>
              </c:layout>
              <c:tx>
                <c:rich>
                  <a:bodyPr/>
                  <a:lstStyle/>
                  <a:p>
                    <a:pPr>
                      <a:defRPr sz="900">
                        <a:solidFill>
                          <a:sysClr val="windowText" lastClr="000000"/>
                        </a:solidFill>
                      </a:defRPr>
                    </a:pPr>
                    <a:fld id="{955CB177-BA8E-4C6C-A9DF-9DD3A87BA7C6}" type="CATEGORYNAME">
                      <a:rPr lang="en-US"/>
                      <a:pPr>
                        <a:defRPr sz="900">
                          <a:solidFill>
                            <a:sysClr val="windowText" lastClr="000000"/>
                          </a:solidFill>
                        </a:defRPr>
                      </a:pPr>
                      <a:t>[CATEGORY NAME]</a:t>
                    </a:fld>
                    <a:r>
                      <a:rPr lang="en-US" baseline="0"/>
                      <a:t> 26%</a:t>
                    </a:r>
                  </a:p>
                </c:rich>
              </c:tx>
              <c:numFmt formatCode="0%" sourceLinked="0"/>
              <c:sp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E72-4AD5-9956-34AE7C0EC15A}"/>
                </c:ext>
              </c:extLst>
            </c:dLbl>
            <c:dLbl>
              <c:idx val="1"/>
              <c:layout>
                <c:manualLayout>
                  <c:x val="0.13962903466498125"/>
                  <c:y val="-0.3051331731584393"/>
                </c:manualLayout>
              </c:layout>
              <c:tx>
                <c:rich>
                  <a:bodyPr/>
                  <a:lstStyle/>
                  <a:p>
                    <a:fld id="{9B5BF100-2B27-4466-BB85-C06A77BF7952}" type="CATEGORYNAME">
                      <a:rPr lang="en-US"/>
                      <a:pPr/>
                      <a:t>[CATEGORY NAME]</a:t>
                    </a:fld>
                    <a:r>
                      <a:rPr lang="en-US" baseline="0"/>
                      <a:t> 37%</a:t>
                    </a:r>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7E72-4AD5-9956-34AE7C0EC15A}"/>
                </c:ext>
              </c:extLst>
            </c:dLbl>
            <c:dLbl>
              <c:idx val="2"/>
              <c:layout>
                <c:manualLayout>
                  <c:x val="0.14179021936639191"/>
                  <c:y val="0.15427708436898455"/>
                </c:manualLayout>
              </c:layout>
              <c:tx>
                <c:rich>
                  <a:bodyPr/>
                  <a:lstStyle/>
                  <a:p>
                    <a:fld id="{B6C6FC8D-2120-4194-90C4-E084DF223995}" type="CATEGORYNAME">
                      <a:rPr lang="en-US"/>
                      <a:pPr/>
                      <a:t>[CATEGORY NAME]</a:t>
                    </a:fld>
                    <a:r>
                      <a:rPr lang="en-US" baseline="0"/>
                      <a:t> 33%</a:t>
                    </a:r>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7E72-4AD5-9956-34AE7C0EC15A}"/>
                </c:ext>
              </c:extLst>
            </c:dLbl>
            <c:dLbl>
              <c:idx val="3"/>
              <c:layout>
                <c:manualLayout>
                  <c:x val="-5.3013632493262755E-2"/>
                  <c:y val="2.407769028871394E-2"/>
                </c:manualLayout>
              </c:layout>
              <c:numFmt formatCode="0%" sourceLinked="0"/>
              <c:spPr/>
              <c:txPr>
                <a:bodyPr/>
                <a:lstStyle/>
                <a:p>
                  <a:pPr>
                    <a:defRPr sz="900">
                      <a:solidFill>
                        <a:sysClr val="windowText" lastClr="000000"/>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E72-4AD5-9956-34AE7C0EC15A}"/>
                </c:ext>
              </c:extLst>
            </c:dLbl>
            <c:numFmt formatCode="0%" sourceLinked="0"/>
            <c:spPr>
              <a:noFill/>
              <a:ln>
                <a:noFill/>
              </a:ln>
              <a:effectLst/>
            </c:spPr>
            <c:txPr>
              <a:bodyPr wrap="square" lIns="38100" tIns="19050" rIns="38100" bIns="19050" anchor="ctr">
                <a:spAutoFit/>
              </a:bodyPr>
              <a:lstStyle/>
              <a:p>
                <a:pPr>
                  <a:defRPr sz="900">
                    <a:solidFill>
                      <a:sysClr val="windowText" lastClr="000000"/>
                    </a:solidFill>
                  </a:defRPr>
                </a:pPr>
                <a:endParaRPr lang="en-US"/>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Jun!$K$37:$K$40</c:f>
              <c:strCache>
                <c:ptCount val="4"/>
                <c:pt idx="0">
                  <c:v>EUR</c:v>
                </c:pt>
                <c:pt idx="1">
                  <c:v>SDR</c:v>
                </c:pt>
                <c:pt idx="2">
                  <c:v>USD</c:v>
                </c:pt>
                <c:pt idx="3">
                  <c:v>სხვა</c:v>
                </c:pt>
              </c:strCache>
            </c:strRef>
          </c:cat>
          <c:val>
            <c:numRef>
              <c:f>Jun!$M$37:$M$40</c:f>
              <c:numCache>
                <c:formatCode>0%</c:formatCode>
                <c:ptCount val="4"/>
                <c:pt idx="0">
                  <c:v>0.22068594522484139</c:v>
                </c:pt>
                <c:pt idx="1">
                  <c:v>0.39872968772600609</c:v>
                </c:pt>
                <c:pt idx="2">
                  <c:v>0.33676257184916791</c:v>
                </c:pt>
                <c:pt idx="3">
                  <c:v>4.3821795199984533E-2</c:v>
                </c:pt>
              </c:numCache>
            </c:numRef>
          </c:val>
          <c:extLst>
            <c:ext xmlns:c16="http://schemas.microsoft.com/office/drawing/2014/chart" uri="{C3380CC4-5D6E-409C-BE32-E72D297353CC}">
              <c16:uniqueId val="{00000007-7E72-4AD5-9956-34AE7C0EC15A}"/>
            </c:ext>
          </c:extLst>
        </c:ser>
        <c:ser>
          <c:idx val="1"/>
          <c:order val="1"/>
          <c:explosion val="25"/>
          <c:cat>
            <c:strRef>
              <c:f>Jun!$K$37:$K$40</c:f>
              <c:strCache>
                <c:ptCount val="4"/>
                <c:pt idx="0">
                  <c:v>EUR</c:v>
                </c:pt>
                <c:pt idx="1">
                  <c:v>SDR</c:v>
                </c:pt>
                <c:pt idx="2">
                  <c:v>USD</c:v>
                </c:pt>
                <c:pt idx="3">
                  <c:v>სხვა</c:v>
                </c:pt>
              </c:strCache>
            </c:strRef>
          </c:cat>
          <c:val>
            <c:numRef>
              <c:f>Jun!$M$39:$M$42</c:f>
              <c:numCache>
                <c:formatCode>0%</c:formatCode>
                <c:ptCount val="4"/>
                <c:pt idx="0">
                  <c:v>0.33676257184916791</c:v>
                </c:pt>
                <c:pt idx="1">
                  <c:v>4.3821795199984533E-2</c:v>
                </c:pt>
                <c:pt idx="2" formatCode="0.0%">
                  <c:v>0.99999999999999989</c:v>
                </c:pt>
              </c:numCache>
            </c:numRef>
          </c:val>
          <c:extLst>
            <c:ext xmlns:c16="http://schemas.microsoft.com/office/drawing/2014/chart" uri="{C3380CC4-5D6E-409C-BE32-E72D297353CC}">
              <c16:uniqueId val="{00000008-7E72-4AD5-9956-34AE7C0EC15A}"/>
            </c:ext>
          </c:extLst>
        </c:ser>
        <c:dLbls>
          <c:showLegendKey val="0"/>
          <c:showVal val="0"/>
          <c:showCatName val="0"/>
          <c:showSerName val="0"/>
          <c:showPercent val="0"/>
          <c:showBubbleSize val="0"/>
          <c:showLeaderLines val="0"/>
        </c:dLbls>
      </c:pie3DChart>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b="0"/>
            </a:pPr>
            <a:r>
              <a:rPr lang="ka-GE" sz="1000" b="0" i="0" u="none" strike="noStrike" baseline="0"/>
              <a:t>საპროცენტო განაკვეთის ტიპი</a:t>
            </a:r>
            <a:endParaRPr lang="en-US" sz="1000" b="0"/>
          </a:p>
        </c:rich>
      </c:tx>
      <c:layout>
        <c:manualLayout>
          <c:xMode val="edge"/>
          <c:yMode val="edge"/>
          <c:x val="0.18627450980392157"/>
          <c:y val="0"/>
        </c:manualLayout>
      </c:layout>
      <c:overlay val="0"/>
    </c:title>
    <c:autoTitleDeleted val="0"/>
    <c:view3D>
      <c:rotX val="40"/>
      <c:rotY val="0"/>
      <c:rAngAx val="0"/>
    </c:view3D>
    <c:floor>
      <c:thickness val="0"/>
    </c:floor>
    <c:sideWall>
      <c:thickness val="0"/>
    </c:sideWall>
    <c:backWall>
      <c:thickness val="0"/>
    </c:backWall>
    <c:plotArea>
      <c:layout>
        <c:manualLayout>
          <c:layoutTarget val="inner"/>
          <c:xMode val="edge"/>
          <c:yMode val="edge"/>
          <c:x val="0.16177261626080522"/>
          <c:y val="0.16151019584090451"/>
          <c:w val="0.82278336829517917"/>
          <c:h val="0.80630584334852873"/>
        </c:manualLayout>
      </c:layout>
      <c:pie3DChart>
        <c:varyColors val="1"/>
        <c:ser>
          <c:idx val="0"/>
          <c:order val="0"/>
          <c:explosion val="7"/>
          <c:dPt>
            <c:idx val="0"/>
            <c:bubble3D val="0"/>
            <c:spPr>
              <a:solidFill>
                <a:schemeClr val="accent5">
                  <a:lumMod val="40000"/>
                  <a:lumOff val="60000"/>
                </a:schemeClr>
              </a:solidFill>
              <a:ln>
                <a:solidFill>
                  <a:schemeClr val="accent1"/>
                </a:solidFill>
              </a:ln>
              <a:effectLst>
                <a:outerShdw blurRad="40000" dist="23000" dir="5400000" sx="1000" sy="1000" rotWithShape="0">
                  <a:schemeClr val="bg1">
                    <a:alpha val="35000"/>
                  </a:schemeClr>
                </a:outerShdw>
              </a:effectLst>
            </c:spPr>
            <c:extLst>
              <c:ext xmlns:c16="http://schemas.microsoft.com/office/drawing/2014/chart" uri="{C3380CC4-5D6E-409C-BE32-E72D297353CC}">
                <c16:uniqueId val="{00000001-1111-4977-804C-34D50D70DA1E}"/>
              </c:ext>
            </c:extLst>
          </c:dPt>
          <c:dPt>
            <c:idx val="1"/>
            <c:bubble3D val="0"/>
            <c:spPr>
              <a:solidFill>
                <a:schemeClr val="accent4">
                  <a:lumMod val="60000"/>
                  <a:lumOff val="40000"/>
                </a:schemeClr>
              </a:solidFill>
            </c:spPr>
            <c:extLst>
              <c:ext xmlns:c16="http://schemas.microsoft.com/office/drawing/2014/chart" uri="{C3380CC4-5D6E-409C-BE32-E72D297353CC}">
                <c16:uniqueId val="{00000003-1111-4977-804C-34D50D70DA1E}"/>
              </c:ext>
            </c:extLst>
          </c:dPt>
          <c:dLbls>
            <c:dLbl>
              <c:idx val="0"/>
              <c:layout>
                <c:manualLayout>
                  <c:x val="-0.15265112131253863"/>
                  <c:y val="-0.14566777710478498"/>
                </c:manualLayout>
              </c:layout>
              <c:tx>
                <c:rich>
                  <a:bodyPr/>
                  <a:lstStyle/>
                  <a:p>
                    <a:fld id="{82737498-9DFB-4C5B-97DF-27FC058FB40E}" type="CATEGORYNAME">
                      <a:rPr lang="ka-GE"/>
                      <a:pPr/>
                      <a:t>[CATEGORY NAME]</a:t>
                    </a:fld>
                    <a:r>
                      <a:rPr lang="ka-GE" baseline="0"/>
                      <a:t>
59%</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111-4977-804C-34D50D70DA1E}"/>
                </c:ext>
              </c:extLst>
            </c:dLbl>
            <c:dLbl>
              <c:idx val="1"/>
              <c:tx>
                <c:rich>
                  <a:bodyPr/>
                  <a:lstStyle/>
                  <a:p>
                    <a:fld id="{EB7B180F-5D43-4F27-AC05-C88EB4EA4DB3}" type="CATEGORYNAME">
                      <a:rPr lang="ka-GE"/>
                      <a:pPr/>
                      <a:t>[CATEGORY NAME]</a:t>
                    </a:fld>
                    <a:r>
                      <a:rPr lang="ka-GE" baseline="0"/>
                      <a:t>
41%</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111-4977-804C-34D50D70DA1E}"/>
                </c:ext>
              </c:extLst>
            </c:dLbl>
            <c:spPr>
              <a:noFill/>
              <a:ln>
                <a:noFill/>
              </a:ln>
              <a:effectLst/>
            </c:spPr>
            <c:txPr>
              <a:bodyPr/>
              <a:lstStyle/>
              <a:p>
                <a:pPr>
                  <a:defRPr sz="750" b="0">
                    <a:solidFill>
                      <a:sysClr val="windowText" lastClr="000000"/>
                    </a:solidFil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DEC!$L$20:$L$21</c:f>
              <c:strCache>
                <c:ptCount val="2"/>
                <c:pt idx="0">
                  <c:v>ფიქსირებული</c:v>
                </c:pt>
                <c:pt idx="1">
                  <c:v>ცვლადი</c:v>
                </c:pt>
              </c:strCache>
            </c:strRef>
          </c:cat>
          <c:val>
            <c:numRef>
              <c:f>DEC!$M$20:$M$21</c:f>
              <c:numCache>
                <c:formatCode>_(* #,##0_);_(* \(#,##0\);_(* "-"??_);_(@_)</c:formatCode>
                <c:ptCount val="2"/>
                <c:pt idx="0">
                  <c:v>3337896.49</c:v>
                </c:pt>
                <c:pt idx="1">
                  <c:v>1839493.095</c:v>
                </c:pt>
              </c:numCache>
            </c:numRef>
          </c:val>
          <c:extLst>
            <c:ext xmlns:c16="http://schemas.microsoft.com/office/drawing/2014/chart" uri="{C3380CC4-5D6E-409C-BE32-E72D297353CC}">
              <c16:uniqueId val="{00000004-1111-4977-804C-34D50D70DA1E}"/>
            </c:ext>
          </c:extLst>
        </c:ser>
        <c:dLbls>
          <c:showLegendKey val="0"/>
          <c:showVal val="0"/>
          <c:showCatName val="0"/>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7546556680415"/>
          <c:y val="0.31006204206192689"/>
          <c:w val="0.80859455068116481"/>
          <c:h val="0.45456054739044266"/>
        </c:manualLayout>
      </c:layout>
      <c:barChart>
        <c:barDir val="col"/>
        <c:grouping val="stacked"/>
        <c:varyColors val="0"/>
        <c:ser>
          <c:idx val="0"/>
          <c:order val="0"/>
          <c:tx>
            <c:strRef>
              <c:f>GDP!$G$26</c:f>
              <c:strCache>
                <c:ptCount val="1"/>
                <c:pt idx="0">
                  <c:v>მთავრობის მთლიანი ვალი %-ად მშპ-თან</c:v>
                </c:pt>
              </c:strCache>
            </c:strRef>
          </c:tx>
          <c:spPr>
            <a:solidFill>
              <a:srgbClr val="7AACF6"/>
            </a:solidFill>
            <a:ln>
              <a:noFill/>
            </a:ln>
            <a:effectLst>
              <a:outerShdw blurRad="50800" dist="38100" dir="5400000" algn="t" rotWithShape="0">
                <a:prstClr val="black">
                  <a:alpha val="40000"/>
                </a:prstClr>
              </a:outerShdw>
            </a:effectLst>
          </c:spPr>
          <c:invertIfNegative val="0"/>
          <c:dLbls>
            <c:dLbl>
              <c:idx val="0"/>
              <c:layout>
                <c:manualLayout>
                  <c:x val="-3.5797386790764603E-3"/>
                  <c:y val="-0.2590959206174200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16A-49DD-80E9-40A483EBD99E}"/>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GDP!$F$27:$F$28</c:f>
              <c:numCache>
                <c:formatCode>General</c:formatCode>
                <c:ptCount val="2"/>
                <c:pt idx="0">
                  <c:v>2017</c:v>
                </c:pt>
                <c:pt idx="1">
                  <c:v>2018</c:v>
                </c:pt>
              </c:numCache>
            </c:numRef>
          </c:cat>
          <c:val>
            <c:numRef>
              <c:f>GDP!$G$27:$G$28</c:f>
              <c:numCache>
                <c:formatCode>0.0%</c:formatCode>
                <c:ptCount val="2"/>
                <c:pt idx="0">
                  <c:v>0.42440980772811254</c:v>
                </c:pt>
                <c:pt idx="1">
                  <c:v>0.41794422779232737</c:v>
                </c:pt>
              </c:numCache>
            </c:numRef>
          </c:val>
          <c:extLst>
            <c:ext xmlns:c16="http://schemas.microsoft.com/office/drawing/2014/chart" uri="{C3380CC4-5D6E-409C-BE32-E72D297353CC}">
              <c16:uniqueId val="{00000000-C16A-49DD-80E9-40A483EBD99E}"/>
            </c:ext>
          </c:extLst>
        </c:ser>
        <c:ser>
          <c:idx val="1"/>
          <c:order val="1"/>
          <c:tx>
            <c:strRef>
              <c:f>GDP!$H$26</c:f>
              <c:strCache>
                <c:ptCount val="1"/>
                <c:pt idx="0">
                  <c:v>გაცვლითი კურსის ეფექტი</c:v>
                </c:pt>
              </c:strCache>
            </c:strRef>
          </c:tx>
          <c:spPr>
            <a:solidFill>
              <a:srgbClr val="A3CF9D"/>
            </a:solidFill>
            <a:ln>
              <a:solidFill>
                <a:schemeClr val="bg1"/>
              </a:solidFill>
            </a:ln>
            <a:effectLst>
              <a:outerShdw blurRad="50800" dist="12700" dir="5400000" algn="t" rotWithShape="0">
                <a:prstClr val="black">
                  <a:alpha val="40000"/>
                </a:prstClr>
              </a:outerShdw>
            </a:effectLst>
          </c:spPr>
          <c:invertIfNegative val="0"/>
          <c:dPt>
            <c:idx val="1"/>
            <c:invertIfNegative val="0"/>
            <c:bubble3D val="0"/>
            <c:spPr>
              <a:solidFill>
                <a:srgbClr val="A3CF9D"/>
              </a:solidFill>
              <a:ln>
                <a:noFill/>
              </a:ln>
              <a:effectLst>
                <a:outerShdw blurRad="50800" dist="12700" dir="5400000" algn="t" rotWithShape="0">
                  <a:prstClr val="black">
                    <a:alpha val="40000"/>
                  </a:prstClr>
                </a:outerShdw>
              </a:effectLst>
            </c:spPr>
            <c:extLst>
              <c:ext xmlns:c16="http://schemas.microsoft.com/office/drawing/2014/chart" uri="{C3380CC4-5D6E-409C-BE32-E72D297353CC}">
                <c16:uniqueId val="{00000002-C16A-49DD-80E9-40A483EBD99E}"/>
              </c:ext>
            </c:extLst>
          </c:dPt>
          <c:dLbls>
            <c:dLbl>
              <c:idx val="0"/>
              <c:layout>
                <c:manualLayout>
                  <c:x val="0.40594418267488208"/>
                  <c:y val="3.0469226081657471E-2"/>
                </c:manualLayout>
              </c:layout>
              <c:tx>
                <c:rich>
                  <a:bodyPr/>
                  <a:lstStyle/>
                  <a:p>
                    <a:r>
                      <a:rPr lang="en-US"/>
                      <a:t>42.2%</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16A-49DD-80E9-40A483EBD99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GDP!$F$27:$F$28</c:f>
              <c:numCache>
                <c:formatCode>General</c:formatCode>
                <c:ptCount val="2"/>
                <c:pt idx="0">
                  <c:v>2017</c:v>
                </c:pt>
                <c:pt idx="1">
                  <c:v>2018</c:v>
                </c:pt>
              </c:numCache>
            </c:numRef>
          </c:cat>
          <c:val>
            <c:numRef>
              <c:f>GDP!$H$27:$H$28</c:f>
              <c:numCache>
                <c:formatCode>0.0%</c:formatCode>
                <c:ptCount val="2"/>
                <c:pt idx="0">
                  <c:v>0</c:v>
                </c:pt>
                <c:pt idx="1">
                  <c:v>4.3952957806078774E-3</c:v>
                </c:pt>
              </c:numCache>
            </c:numRef>
          </c:val>
          <c:extLst>
            <c:ext xmlns:c16="http://schemas.microsoft.com/office/drawing/2014/chart" uri="{C3380CC4-5D6E-409C-BE32-E72D297353CC}">
              <c16:uniqueId val="{00000004-C16A-49DD-80E9-40A483EBD99E}"/>
            </c:ext>
          </c:extLst>
        </c:ser>
        <c:dLbls>
          <c:dLblPos val="ctr"/>
          <c:showLegendKey val="0"/>
          <c:showVal val="1"/>
          <c:showCatName val="0"/>
          <c:showSerName val="0"/>
          <c:showPercent val="0"/>
          <c:showBubbleSize val="0"/>
        </c:dLbls>
        <c:gapWidth val="262"/>
        <c:overlap val="100"/>
        <c:axId val="297093007"/>
        <c:axId val="297104239"/>
      </c:barChart>
      <c:catAx>
        <c:axId val="297093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ylfaen" panose="010A0502050306030303" pitchFamily="18" charset="0"/>
                <a:ea typeface="+mn-ea"/>
                <a:cs typeface="+mn-cs"/>
              </a:defRPr>
            </a:pPr>
            <a:endParaRPr lang="en-US"/>
          </a:p>
        </c:txPr>
        <c:crossAx val="297104239"/>
        <c:crosses val="autoZero"/>
        <c:auto val="1"/>
        <c:lblAlgn val="ctr"/>
        <c:lblOffset val="100"/>
        <c:noMultiLvlLbl val="0"/>
      </c:catAx>
      <c:valAx>
        <c:axId val="297104239"/>
        <c:scaling>
          <c:orientation val="minMax"/>
          <c:max val="0.42600000000000005"/>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ylfaen" panose="010A0502050306030303" pitchFamily="18" charset="0"/>
                <a:ea typeface="+mn-ea"/>
                <a:cs typeface="+mn-cs"/>
              </a:defRPr>
            </a:pPr>
            <a:endParaRPr lang="en-US"/>
          </a:p>
        </c:txPr>
        <c:crossAx val="297093007"/>
        <c:crosses val="autoZero"/>
        <c:crossBetween val="between"/>
        <c:majorUnit val="4.000000000000001E-3"/>
      </c:valAx>
      <c:spPr>
        <a:noFill/>
        <a:ln>
          <a:noFill/>
        </a:ln>
        <a:effectLst/>
      </c:spPr>
    </c:plotArea>
    <c:legend>
      <c:legendPos val="b"/>
      <c:layout>
        <c:manualLayout>
          <c:xMode val="edge"/>
          <c:yMode val="edge"/>
          <c:x val="0.13636576677915263"/>
          <c:y val="3.8718968818456212E-2"/>
          <c:w val="0.71933164604424449"/>
          <c:h val="0.202704187432259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ylfaen" panose="010A0502050306030303"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latin typeface="Sylfaen" panose="010A0502050306030303"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144108320034326"/>
          <c:y val="0.13336665933494632"/>
          <c:w val="0.42006603621705424"/>
          <c:h val="0.73489603715753971"/>
        </c:manualLayout>
      </c:layout>
      <c:pieChart>
        <c:varyColors val="1"/>
        <c:ser>
          <c:idx val="0"/>
          <c:order val="0"/>
          <c:tx>
            <c:strRef>
              <c:f>Sheet1!$B$1</c:f>
              <c:strCache>
                <c:ptCount val="1"/>
                <c:pt idx="0">
                  <c:v>Column1</c:v>
                </c:pt>
              </c:strCache>
            </c:strRef>
          </c:tx>
          <c:dPt>
            <c:idx val="0"/>
            <c:bubble3D val="0"/>
            <c:spPr>
              <a:solidFill>
                <a:srgbClr val="7AACF6"/>
              </a:solidFill>
              <a:ln w="19050">
                <a:solidFill>
                  <a:schemeClr val="lt1"/>
                </a:solidFill>
              </a:ln>
              <a:effectLst/>
            </c:spPr>
            <c:extLst>
              <c:ext xmlns:c16="http://schemas.microsoft.com/office/drawing/2014/chart" uri="{C3380CC4-5D6E-409C-BE32-E72D297353CC}">
                <c16:uniqueId val="{00000001-9F00-4BAC-85DF-68C668970119}"/>
              </c:ext>
            </c:extLst>
          </c:dPt>
          <c:dPt>
            <c:idx val="1"/>
            <c:bubble3D val="0"/>
            <c:spPr>
              <a:solidFill>
                <a:srgbClr val="C3C2C8"/>
              </a:solidFill>
              <a:ln w="19050">
                <a:solidFill>
                  <a:schemeClr val="lt1"/>
                </a:solidFill>
              </a:ln>
              <a:effectLst/>
            </c:spPr>
            <c:extLst>
              <c:ext xmlns:c16="http://schemas.microsoft.com/office/drawing/2014/chart" uri="{C3380CC4-5D6E-409C-BE32-E72D297353CC}">
                <c16:uniqueId val="{00000003-9F00-4BAC-85DF-68C668970119}"/>
              </c:ext>
            </c:extLst>
          </c:dPt>
          <c:dPt>
            <c:idx val="2"/>
            <c:bubble3D val="0"/>
            <c:spPr>
              <a:solidFill>
                <a:srgbClr val="A3CF9D"/>
              </a:solidFill>
              <a:ln w="19050">
                <a:solidFill>
                  <a:schemeClr val="lt1"/>
                </a:solidFill>
              </a:ln>
              <a:effectLst/>
            </c:spPr>
            <c:extLst>
              <c:ext xmlns:c16="http://schemas.microsoft.com/office/drawing/2014/chart" uri="{C3380CC4-5D6E-409C-BE32-E72D297353CC}">
                <c16:uniqueId val="{00000005-9F00-4BAC-85DF-68C668970119}"/>
              </c:ext>
            </c:extLst>
          </c:dPt>
          <c:dPt>
            <c:idx val="3"/>
            <c:bubble3D val="0"/>
            <c:spPr>
              <a:solidFill>
                <a:srgbClr val="DDE072"/>
              </a:solidFill>
              <a:ln w="19050">
                <a:solidFill>
                  <a:schemeClr val="lt1"/>
                </a:solidFill>
              </a:ln>
              <a:effectLst/>
            </c:spPr>
            <c:extLst>
              <c:ext xmlns:c16="http://schemas.microsoft.com/office/drawing/2014/chart" uri="{C3380CC4-5D6E-409C-BE32-E72D297353CC}">
                <c16:uniqueId val="{00000007-9F00-4BAC-85DF-68C668970119}"/>
              </c:ext>
            </c:extLst>
          </c:dPt>
          <c:dLbls>
            <c:dLbl>
              <c:idx val="1"/>
              <c:layout>
                <c:manualLayout>
                  <c:x val="8.5885289258681219E-2"/>
                  <c:y val="-0.1856885105546526"/>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F00-4BAC-85DF-68C668970119}"/>
                </c:ext>
              </c:extLst>
            </c:dLbl>
            <c:dLbl>
              <c:idx val="2"/>
              <c:layout>
                <c:manualLayout>
                  <c:x val="0.15344195249324111"/>
                  <c:y val="0.1300843075877676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F00-4BAC-85DF-68C668970119}"/>
                </c:ext>
              </c:extLst>
            </c:dLbl>
            <c:dLbl>
              <c:idx val="3"/>
              <c:layout>
                <c:manualLayout>
                  <c:x val="2.2592798323068035E-2"/>
                  <c:y val="3.1730260631969952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F00-4BAC-85DF-68C668970119}"/>
                </c:ext>
              </c:extLst>
            </c:dLbl>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BPG Arial" panose="020B0604020202020204" pitchFamily="34" charset="0"/>
                    <a:ea typeface="+mn-ea"/>
                    <a:cs typeface="BPG Arial" panose="020B0604020202020204" pitchFamily="34" charset="0"/>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USD</c:v>
                </c:pt>
                <c:pt idx="1">
                  <c:v>SDR</c:v>
                </c:pt>
                <c:pt idx="2">
                  <c:v>EUR</c:v>
                </c:pt>
                <c:pt idx="3">
                  <c:v>სხვა</c:v>
                </c:pt>
              </c:strCache>
            </c:strRef>
          </c:cat>
          <c:val>
            <c:numRef>
              <c:f>Sheet1!$B$2:$B$5</c:f>
              <c:numCache>
                <c:formatCode>0%</c:formatCode>
                <c:ptCount val="4"/>
                <c:pt idx="0">
                  <c:v>0.33800000000000002</c:v>
                </c:pt>
                <c:pt idx="1">
                  <c:v>0.39710000000000001</c:v>
                </c:pt>
                <c:pt idx="2">
                  <c:v>0.2208</c:v>
                </c:pt>
                <c:pt idx="3">
                  <c:v>4.4200000000000003E-2</c:v>
                </c:pt>
              </c:numCache>
            </c:numRef>
          </c:val>
          <c:extLst>
            <c:ext xmlns:c16="http://schemas.microsoft.com/office/drawing/2014/chart" uri="{C3380CC4-5D6E-409C-BE32-E72D297353CC}">
              <c16:uniqueId val="{00000008-9F00-4BAC-85DF-68C668970119}"/>
            </c:ext>
          </c:extLst>
        </c:ser>
        <c:dLbls>
          <c:showLegendKey val="0"/>
          <c:showVal val="0"/>
          <c:showCatName val="0"/>
          <c:showSerName val="0"/>
          <c:showPercent val="0"/>
          <c:showBubbleSize val="0"/>
          <c:showLeaderLines val="1"/>
        </c:dLbls>
        <c:firstSliceAng val="2"/>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BPG Arial" panose="020B0604020202020204" pitchFamily="34" charset="0"/>
              <a:ea typeface="+mn-ea"/>
              <a:cs typeface="BPG 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chemeClr val="tx1"/>
          </a:solidFill>
          <a:latin typeface="BPG Arial" panose="020B0604020202020204" pitchFamily="34" charset="0"/>
          <a:cs typeface="BPG Arial" panose="020B0604020202020204" pitchFamily="34"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144108320034326"/>
          <c:y val="0.13336665933494632"/>
          <c:w val="0.42006603621705424"/>
          <c:h val="0.73489603715753971"/>
        </c:manualLayout>
      </c:layout>
      <c:pieChart>
        <c:varyColors val="1"/>
        <c:ser>
          <c:idx val="0"/>
          <c:order val="0"/>
          <c:tx>
            <c:strRef>
              <c:f>Sheet1!$B$1</c:f>
              <c:strCache>
                <c:ptCount val="1"/>
                <c:pt idx="0">
                  <c:v>Column1</c:v>
                </c:pt>
              </c:strCache>
            </c:strRef>
          </c:tx>
          <c:dPt>
            <c:idx val="0"/>
            <c:bubble3D val="0"/>
            <c:spPr>
              <a:solidFill>
                <a:srgbClr val="7AACF6"/>
              </a:solidFill>
              <a:ln w="19050">
                <a:solidFill>
                  <a:schemeClr val="lt1"/>
                </a:solidFill>
              </a:ln>
              <a:effectLst/>
            </c:spPr>
            <c:extLst>
              <c:ext xmlns:c16="http://schemas.microsoft.com/office/drawing/2014/chart" uri="{C3380CC4-5D6E-409C-BE32-E72D297353CC}">
                <c16:uniqueId val="{00000001-F73C-46C9-A20F-B6DF0AEB3D8D}"/>
              </c:ext>
            </c:extLst>
          </c:dPt>
          <c:dPt>
            <c:idx val="1"/>
            <c:bubble3D val="0"/>
            <c:spPr>
              <a:solidFill>
                <a:srgbClr val="A3CF9D"/>
              </a:solidFill>
              <a:ln w="19050">
                <a:solidFill>
                  <a:schemeClr val="lt1"/>
                </a:solidFill>
              </a:ln>
              <a:effectLst/>
            </c:spPr>
            <c:extLst>
              <c:ext xmlns:c16="http://schemas.microsoft.com/office/drawing/2014/chart" uri="{C3380CC4-5D6E-409C-BE32-E72D297353CC}">
                <c16:uniqueId val="{00000003-F73C-46C9-A20F-B6DF0AEB3D8D}"/>
              </c:ext>
            </c:extLst>
          </c:dPt>
          <c:dPt>
            <c:idx val="2"/>
            <c:bubble3D val="0"/>
            <c:spPr>
              <a:solidFill>
                <a:srgbClr val="DDE072"/>
              </a:solidFill>
              <a:ln w="19050">
                <a:solidFill>
                  <a:schemeClr val="lt1"/>
                </a:solidFill>
              </a:ln>
              <a:effectLst/>
            </c:spPr>
            <c:extLst>
              <c:ext xmlns:c16="http://schemas.microsoft.com/office/drawing/2014/chart" uri="{C3380CC4-5D6E-409C-BE32-E72D297353CC}">
                <c16:uniqueId val="{00000005-F73C-46C9-A20F-B6DF0AEB3D8D}"/>
              </c:ext>
            </c:extLst>
          </c:dPt>
          <c:dLbls>
            <c:dLbl>
              <c:idx val="2"/>
              <c:layout>
                <c:manualLayout>
                  <c:x val="0.11201915190288714"/>
                  <c:y val="0.14520767140949487"/>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73C-46C9-A20F-B6DF0AEB3D8D}"/>
                </c:ext>
              </c:extLst>
            </c:dLbl>
            <c:numFmt formatCode="0.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BPG Arial" panose="020B0604020202020204" pitchFamily="34" charset="0"/>
                    <a:ea typeface="+mn-ea"/>
                    <a:cs typeface="BPG Arial" panose="020B0604020202020204" pitchFamily="34" charset="0"/>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USD</c:v>
                </c:pt>
                <c:pt idx="1">
                  <c:v>EUR</c:v>
                </c:pt>
                <c:pt idx="2">
                  <c:v>სხვა</c:v>
                </c:pt>
              </c:strCache>
            </c:strRef>
          </c:cat>
          <c:val>
            <c:numRef>
              <c:f>Sheet1!$B$2:$B$4</c:f>
              <c:numCache>
                <c:formatCode>0%</c:formatCode>
                <c:ptCount val="3"/>
                <c:pt idx="0">
                  <c:v>0.504</c:v>
                </c:pt>
                <c:pt idx="1">
                  <c:v>0.34399999999999997</c:v>
                </c:pt>
                <c:pt idx="2">
                  <c:v>0.153</c:v>
                </c:pt>
              </c:numCache>
            </c:numRef>
          </c:val>
          <c:extLst>
            <c:ext xmlns:c16="http://schemas.microsoft.com/office/drawing/2014/chart" uri="{C3380CC4-5D6E-409C-BE32-E72D297353CC}">
              <c16:uniqueId val="{00000006-F73C-46C9-A20F-B6DF0AEB3D8D}"/>
            </c:ext>
          </c:extLst>
        </c:ser>
        <c:dLbls>
          <c:showLegendKey val="0"/>
          <c:showVal val="0"/>
          <c:showCatName val="0"/>
          <c:showSerName val="0"/>
          <c:showPercent val="0"/>
          <c:showBubbleSize val="0"/>
          <c:showLeaderLines val="1"/>
        </c:dLbls>
        <c:firstSliceAng val="2"/>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BPG Arial" panose="020B0604020202020204" pitchFamily="34" charset="0"/>
              <a:ea typeface="+mn-ea"/>
              <a:cs typeface="BPG 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1000">
          <a:solidFill>
            <a:sysClr val="windowText" lastClr="000000"/>
          </a:solidFill>
          <a:latin typeface="BPG Arial" panose="020B0604020202020204" pitchFamily="34" charset="0"/>
          <a:cs typeface="BPG Arial" panose="020B0604020202020204" pitchFamily="34"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144108320034326"/>
          <c:y val="0.13336665933494632"/>
          <c:w val="0.42006603621705424"/>
          <c:h val="0.73489603715753971"/>
        </c:manualLayout>
      </c:layout>
      <c:pieChart>
        <c:varyColors val="1"/>
        <c:ser>
          <c:idx val="0"/>
          <c:order val="0"/>
          <c:tx>
            <c:strRef>
              <c:f>Sheet1!$B$1</c:f>
              <c:strCache>
                <c:ptCount val="1"/>
                <c:pt idx="0">
                  <c:v>Column1</c:v>
                </c:pt>
              </c:strCache>
            </c:strRef>
          </c:tx>
          <c:dPt>
            <c:idx val="0"/>
            <c:bubble3D val="0"/>
            <c:spPr>
              <a:solidFill>
                <a:srgbClr val="7AACF6"/>
              </a:solidFill>
              <a:ln w="19050">
                <a:solidFill>
                  <a:schemeClr val="lt1"/>
                </a:solidFill>
              </a:ln>
              <a:effectLst/>
            </c:spPr>
            <c:extLst>
              <c:ext xmlns:c16="http://schemas.microsoft.com/office/drawing/2014/chart" uri="{C3380CC4-5D6E-409C-BE32-E72D297353CC}">
                <c16:uniqueId val="{00000001-D77B-4A62-8D95-9BC19C537E01}"/>
              </c:ext>
            </c:extLst>
          </c:dPt>
          <c:dPt>
            <c:idx val="1"/>
            <c:bubble3D val="0"/>
            <c:spPr>
              <a:solidFill>
                <a:srgbClr val="C3C2C8"/>
              </a:solidFill>
              <a:ln w="19050">
                <a:solidFill>
                  <a:schemeClr val="lt1"/>
                </a:solidFill>
              </a:ln>
              <a:effectLst/>
            </c:spPr>
            <c:extLst>
              <c:ext xmlns:c16="http://schemas.microsoft.com/office/drawing/2014/chart" uri="{C3380CC4-5D6E-409C-BE32-E72D297353CC}">
                <c16:uniqueId val="{00000003-D77B-4A62-8D95-9BC19C537E01}"/>
              </c:ext>
            </c:extLst>
          </c:dPt>
          <c:dPt>
            <c:idx val="2"/>
            <c:bubble3D val="0"/>
            <c:spPr>
              <a:solidFill>
                <a:srgbClr val="A3CF9D"/>
              </a:solidFill>
              <a:ln w="19050">
                <a:solidFill>
                  <a:schemeClr val="lt1"/>
                </a:solidFill>
              </a:ln>
              <a:effectLst/>
            </c:spPr>
            <c:extLst>
              <c:ext xmlns:c16="http://schemas.microsoft.com/office/drawing/2014/chart" uri="{C3380CC4-5D6E-409C-BE32-E72D297353CC}">
                <c16:uniqueId val="{00000005-D77B-4A62-8D95-9BC19C537E01}"/>
              </c:ext>
            </c:extLst>
          </c:dPt>
          <c:dPt>
            <c:idx val="3"/>
            <c:bubble3D val="0"/>
            <c:spPr>
              <a:solidFill>
                <a:srgbClr val="DDE072"/>
              </a:solidFill>
              <a:ln w="19050">
                <a:solidFill>
                  <a:schemeClr val="lt1"/>
                </a:solidFill>
              </a:ln>
              <a:effectLst/>
            </c:spPr>
            <c:extLst>
              <c:ext xmlns:c16="http://schemas.microsoft.com/office/drawing/2014/chart" uri="{C3380CC4-5D6E-409C-BE32-E72D297353CC}">
                <c16:uniqueId val="{00000007-D77B-4A62-8D95-9BC19C537E01}"/>
              </c:ext>
            </c:extLst>
          </c:dPt>
          <c:dLbls>
            <c:dLbl>
              <c:idx val="1"/>
              <c:layout>
                <c:manualLayout>
                  <c:x val="8.5885289258681219E-2"/>
                  <c:y val="-0.1856885105546526"/>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7B-4A62-8D95-9BC19C537E01}"/>
                </c:ext>
              </c:extLst>
            </c:dLbl>
            <c:dLbl>
              <c:idx val="2"/>
              <c:layout>
                <c:manualLayout>
                  <c:x val="0.15344195249324111"/>
                  <c:y val="0.1300843075877676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77B-4A62-8D95-9BC19C537E01}"/>
                </c:ext>
              </c:extLst>
            </c:dLbl>
            <c:dLbl>
              <c:idx val="3"/>
              <c:layout>
                <c:manualLayout>
                  <c:x val="2.2592798323068035E-2"/>
                  <c:y val="3.1730260631969952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77B-4A62-8D95-9BC19C537E01}"/>
                </c:ext>
              </c:extLst>
            </c:dLbl>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BPG Arial" panose="020B0604020202020204" pitchFamily="34" charset="0"/>
                    <a:ea typeface="+mn-ea"/>
                    <a:cs typeface="BPG Arial" panose="020B0604020202020204" pitchFamily="34" charset="0"/>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USD</c:v>
                </c:pt>
                <c:pt idx="1">
                  <c:v>SDR</c:v>
                </c:pt>
                <c:pt idx="2">
                  <c:v>EUR</c:v>
                </c:pt>
                <c:pt idx="3">
                  <c:v>სხვა</c:v>
                </c:pt>
              </c:strCache>
            </c:strRef>
          </c:cat>
          <c:val>
            <c:numRef>
              <c:f>Sheet1!$B$2:$B$5</c:f>
              <c:numCache>
                <c:formatCode>0%</c:formatCode>
                <c:ptCount val="4"/>
                <c:pt idx="0">
                  <c:v>0.34</c:v>
                </c:pt>
                <c:pt idx="1">
                  <c:v>0.35199999999999998</c:v>
                </c:pt>
                <c:pt idx="2">
                  <c:v>0.26500000000000001</c:v>
                </c:pt>
                <c:pt idx="3">
                  <c:v>4.2999999999999997E-2</c:v>
                </c:pt>
              </c:numCache>
            </c:numRef>
          </c:val>
          <c:extLst>
            <c:ext xmlns:c16="http://schemas.microsoft.com/office/drawing/2014/chart" uri="{C3380CC4-5D6E-409C-BE32-E72D297353CC}">
              <c16:uniqueId val="{00000008-D77B-4A62-8D95-9BC19C537E01}"/>
            </c:ext>
          </c:extLst>
        </c:ser>
        <c:dLbls>
          <c:showLegendKey val="0"/>
          <c:showVal val="0"/>
          <c:showCatName val="0"/>
          <c:showSerName val="0"/>
          <c:showPercent val="0"/>
          <c:showBubbleSize val="0"/>
          <c:showLeaderLines val="1"/>
        </c:dLbls>
        <c:firstSliceAng val="2"/>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BPG Arial" panose="020B0604020202020204" pitchFamily="34" charset="0"/>
              <a:ea typeface="+mn-ea"/>
              <a:cs typeface="BPG 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1000">
          <a:solidFill>
            <a:schemeClr val="tx1"/>
          </a:solidFill>
          <a:latin typeface="BPG Arial" panose="020B0604020202020204" pitchFamily="34" charset="0"/>
          <a:cs typeface="BPG Arial" panose="020B0604020202020204" pitchFamily="34"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144108320034326"/>
          <c:y val="0.13336665933494632"/>
          <c:w val="0.42006603621705424"/>
          <c:h val="0.73489603715753971"/>
        </c:manualLayout>
      </c:layout>
      <c:pieChart>
        <c:varyColors val="1"/>
        <c:ser>
          <c:idx val="0"/>
          <c:order val="0"/>
          <c:tx>
            <c:strRef>
              <c:f>Sheet1!$B$1</c:f>
              <c:strCache>
                <c:ptCount val="1"/>
                <c:pt idx="0">
                  <c:v>Column1</c:v>
                </c:pt>
              </c:strCache>
            </c:strRef>
          </c:tx>
          <c:dPt>
            <c:idx val="0"/>
            <c:bubble3D val="0"/>
            <c:spPr>
              <a:solidFill>
                <a:srgbClr val="7AACF6"/>
              </a:solidFill>
              <a:ln w="19050">
                <a:solidFill>
                  <a:schemeClr val="lt1"/>
                </a:solidFill>
              </a:ln>
              <a:effectLst/>
            </c:spPr>
            <c:extLst>
              <c:ext xmlns:c16="http://schemas.microsoft.com/office/drawing/2014/chart" uri="{C3380CC4-5D6E-409C-BE32-E72D297353CC}">
                <c16:uniqueId val="{00000001-8FDB-4288-9365-274293B5A143}"/>
              </c:ext>
            </c:extLst>
          </c:dPt>
          <c:dPt>
            <c:idx val="1"/>
            <c:bubble3D val="0"/>
            <c:spPr>
              <a:solidFill>
                <a:srgbClr val="A3CF9D"/>
              </a:solidFill>
              <a:ln w="19050">
                <a:solidFill>
                  <a:schemeClr val="lt1"/>
                </a:solidFill>
              </a:ln>
              <a:effectLst/>
            </c:spPr>
            <c:extLst>
              <c:ext xmlns:c16="http://schemas.microsoft.com/office/drawing/2014/chart" uri="{C3380CC4-5D6E-409C-BE32-E72D297353CC}">
                <c16:uniqueId val="{00000003-8FDB-4288-9365-274293B5A143}"/>
              </c:ext>
            </c:extLst>
          </c:dPt>
          <c:dPt>
            <c:idx val="2"/>
            <c:bubble3D val="0"/>
            <c:spPr>
              <a:solidFill>
                <a:srgbClr val="DDE072"/>
              </a:solidFill>
              <a:ln w="19050">
                <a:solidFill>
                  <a:schemeClr val="lt1"/>
                </a:solidFill>
              </a:ln>
              <a:effectLst/>
            </c:spPr>
            <c:extLst>
              <c:ext xmlns:c16="http://schemas.microsoft.com/office/drawing/2014/chart" uri="{C3380CC4-5D6E-409C-BE32-E72D297353CC}">
                <c16:uniqueId val="{00000005-8FDB-4288-9365-274293B5A143}"/>
              </c:ext>
            </c:extLst>
          </c:dPt>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BPG Arial" panose="020B0604020202020204" pitchFamily="34" charset="0"/>
                    <a:ea typeface="+mn-ea"/>
                    <a:cs typeface="BPG Arial" panose="020B0604020202020204" pitchFamily="34" charset="0"/>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USD</c:v>
                </c:pt>
                <c:pt idx="1">
                  <c:v>EUR</c:v>
                </c:pt>
                <c:pt idx="2">
                  <c:v>სხვა</c:v>
                </c:pt>
              </c:strCache>
            </c:strRef>
          </c:cat>
          <c:val>
            <c:numRef>
              <c:f>Sheet1!$B$2:$B$4</c:f>
              <c:numCache>
                <c:formatCode>0%</c:formatCode>
                <c:ptCount val="3"/>
                <c:pt idx="0">
                  <c:v>0.48699999999999999</c:v>
                </c:pt>
                <c:pt idx="1">
                  <c:v>0.374</c:v>
                </c:pt>
                <c:pt idx="2">
                  <c:v>0.13900000000000001</c:v>
                </c:pt>
              </c:numCache>
            </c:numRef>
          </c:val>
          <c:extLst>
            <c:ext xmlns:c16="http://schemas.microsoft.com/office/drawing/2014/chart" uri="{C3380CC4-5D6E-409C-BE32-E72D297353CC}">
              <c16:uniqueId val="{00000006-8FDB-4288-9365-274293B5A143}"/>
            </c:ext>
          </c:extLst>
        </c:ser>
        <c:dLbls>
          <c:showLegendKey val="0"/>
          <c:showVal val="0"/>
          <c:showCatName val="0"/>
          <c:showSerName val="0"/>
          <c:showPercent val="0"/>
          <c:showBubbleSize val="0"/>
          <c:showLeaderLines val="1"/>
        </c:dLbls>
        <c:firstSliceAng val="2"/>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BPG Arial" panose="020B0604020202020204" pitchFamily="34" charset="0"/>
              <a:ea typeface="+mn-ea"/>
              <a:cs typeface="BPG 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1000">
          <a:solidFill>
            <a:sysClr val="windowText" lastClr="000000"/>
          </a:solidFill>
          <a:latin typeface="BPG Arial" panose="020B0604020202020204" pitchFamily="34" charset="0"/>
          <a:cs typeface="BPG Arial" panose="020B0604020202020204" pitchFamily="34"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14354455693039"/>
          <c:y val="0.16321874696218527"/>
          <c:w val="0.84004624421947272"/>
          <c:h val="0.6719129726839701"/>
        </c:manualLayout>
      </c:layout>
      <c:barChart>
        <c:barDir val="col"/>
        <c:grouping val="stacked"/>
        <c:varyColors val="0"/>
        <c:ser>
          <c:idx val="0"/>
          <c:order val="0"/>
          <c:tx>
            <c:strRef>
              <c:f>ცხრილი1!$E$59</c:f>
              <c:strCache>
                <c:ptCount val="1"/>
                <c:pt idx="0">
                  <c:v>დამატებითი სესხების ეფექტი</c:v>
                </c:pt>
              </c:strCache>
            </c:strRef>
          </c:tx>
          <c:spPr>
            <a:solidFill>
              <a:srgbClr val="7AACF6"/>
            </a:solidFill>
            <a:ln>
              <a:noFill/>
            </a:ln>
            <a:effectLst>
              <a:outerShdw blurRad="40000" dist="23000" dir="5400000" rotWithShape="0">
                <a:srgbClr val="000000">
                  <a:alpha val="35000"/>
                </a:srgbClr>
              </a:outerShdw>
            </a:effectLst>
          </c:spPr>
          <c:invertIfNegative val="0"/>
          <c:cat>
            <c:strRef>
              <c:f>ცხრილი1!$D$60:$D$66</c:f>
              <c:strCache>
                <c:ptCount val="7"/>
                <c:pt idx="0">
                  <c:v>USD</c:v>
                </c:pt>
                <c:pt idx="1">
                  <c:v>SDR</c:v>
                </c:pt>
                <c:pt idx="2">
                  <c:v>EUR</c:v>
                </c:pt>
                <c:pt idx="3">
                  <c:v>KWD</c:v>
                </c:pt>
                <c:pt idx="4">
                  <c:v>JPY</c:v>
                </c:pt>
                <c:pt idx="5">
                  <c:v>CNY</c:v>
                </c:pt>
                <c:pt idx="6">
                  <c:v>სულ</c:v>
                </c:pt>
              </c:strCache>
            </c:strRef>
          </c:cat>
          <c:val>
            <c:numRef>
              <c:f>ცხრილი1!$E$60:$E$66</c:f>
              <c:numCache>
                <c:formatCode>_(* #,##0.00_);_(* \(#,##0.00\);_(* "-"??_);_(@_)</c:formatCode>
                <c:ptCount val="7"/>
                <c:pt idx="0">
                  <c:v>68.534072054000106</c:v>
                </c:pt>
                <c:pt idx="1">
                  <c:v>-123.65818232198339</c:v>
                </c:pt>
                <c:pt idx="2">
                  <c:v>334.10893873010974</c:v>
                </c:pt>
                <c:pt idx="3">
                  <c:v>-1.6252755408121338</c:v>
                </c:pt>
                <c:pt idx="4">
                  <c:v>0.20237660088401754</c:v>
                </c:pt>
                <c:pt idx="5">
                  <c:v>-0.46097137499999985</c:v>
                </c:pt>
                <c:pt idx="6">
                  <c:v>277.1009581471983</c:v>
                </c:pt>
              </c:numCache>
            </c:numRef>
          </c:val>
          <c:extLst>
            <c:ext xmlns:c16="http://schemas.microsoft.com/office/drawing/2014/chart" uri="{C3380CC4-5D6E-409C-BE32-E72D297353CC}">
              <c16:uniqueId val="{00000000-8608-4882-A0BD-DEBE910E1459}"/>
            </c:ext>
          </c:extLst>
        </c:ser>
        <c:ser>
          <c:idx val="1"/>
          <c:order val="1"/>
          <c:tx>
            <c:strRef>
              <c:f>ცხრილი1!$F$59</c:f>
              <c:strCache>
                <c:ptCount val="1"/>
                <c:pt idx="0">
                  <c:v>გაცვლითი კურსის ეფექტი</c:v>
                </c:pt>
              </c:strCache>
            </c:strRef>
          </c:tx>
          <c:spPr>
            <a:solidFill>
              <a:srgbClr val="A3CF9D"/>
            </a:solidFill>
            <a:ln>
              <a:noFill/>
            </a:ln>
            <a:effectLst>
              <a:outerShdw blurRad="40000" dist="23000" dir="5400000" rotWithShape="0">
                <a:srgbClr val="000000">
                  <a:alpha val="35000"/>
                </a:srgbClr>
              </a:outerShdw>
            </a:effectLst>
          </c:spPr>
          <c:invertIfNegative val="0"/>
          <c:cat>
            <c:strRef>
              <c:f>ცხრილი1!$D$60:$D$66</c:f>
              <c:strCache>
                <c:ptCount val="7"/>
                <c:pt idx="0">
                  <c:v>USD</c:v>
                </c:pt>
                <c:pt idx="1">
                  <c:v>SDR</c:v>
                </c:pt>
                <c:pt idx="2">
                  <c:v>EUR</c:v>
                </c:pt>
                <c:pt idx="3">
                  <c:v>KWD</c:v>
                </c:pt>
                <c:pt idx="4">
                  <c:v>JPY</c:v>
                </c:pt>
                <c:pt idx="5">
                  <c:v>CNY</c:v>
                </c:pt>
                <c:pt idx="6">
                  <c:v>სულ</c:v>
                </c:pt>
              </c:strCache>
            </c:strRef>
          </c:cat>
          <c:val>
            <c:numRef>
              <c:f>ცხრილი1!$F$60:$F$66</c:f>
              <c:numCache>
                <c:formatCode>_(* #,##0.00_);_(* \(#,##0.00\);_(* "-"??_);_(@_)</c:formatCode>
                <c:ptCount val="7"/>
                <c:pt idx="0">
                  <c:v>0</c:v>
                </c:pt>
                <c:pt idx="1">
                  <c:v>-44.448496627523099</c:v>
                </c:pt>
                <c:pt idx="2">
                  <c:v>-61.587057005002862</c:v>
                </c:pt>
                <c:pt idx="3">
                  <c:v>-6.6710241432407197E-2</c:v>
                </c:pt>
                <c:pt idx="4">
                  <c:v>4.3540642745021909</c:v>
                </c:pt>
                <c:pt idx="5">
                  <c:v>-9.7281599529253526E-2</c:v>
                </c:pt>
                <c:pt idx="6">
                  <c:v>-101.84548119898542</c:v>
                </c:pt>
              </c:numCache>
            </c:numRef>
          </c:val>
          <c:extLst>
            <c:ext xmlns:c16="http://schemas.microsoft.com/office/drawing/2014/chart" uri="{C3380CC4-5D6E-409C-BE32-E72D297353CC}">
              <c16:uniqueId val="{00000001-8608-4882-A0BD-DEBE910E1459}"/>
            </c:ext>
          </c:extLst>
        </c:ser>
        <c:dLbls>
          <c:showLegendKey val="0"/>
          <c:showVal val="0"/>
          <c:showCatName val="0"/>
          <c:showSerName val="0"/>
          <c:showPercent val="0"/>
          <c:showBubbleSize val="0"/>
        </c:dLbls>
        <c:gapWidth val="100"/>
        <c:overlap val="100"/>
        <c:axId val="1182271632"/>
        <c:axId val="1182264560"/>
      </c:barChart>
      <c:lineChart>
        <c:grouping val="standard"/>
        <c:varyColors val="0"/>
        <c:ser>
          <c:idx val="2"/>
          <c:order val="2"/>
          <c:tx>
            <c:strRef>
              <c:f>ცხრილი1!$G$59</c:f>
              <c:strCache>
                <c:ptCount val="1"/>
                <c:pt idx="0">
                  <c:v>ჯამური ეფექტი</c:v>
                </c:pt>
              </c:strCache>
            </c:strRef>
          </c:tx>
          <c:spPr>
            <a:ln w="31750" cap="rnd">
              <a:solidFill>
                <a:schemeClr val="accent3"/>
              </a:solidFill>
              <a:round/>
            </a:ln>
            <a:effectLst>
              <a:outerShdw blurRad="40000" dist="23000" dir="5400000" rotWithShape="0">
                <a:srgbClr val="000000">
                  <a:alpha val="35000"/>
                </a:srgbClr>
              </a:outerShdw>
            </a:effectLst>
          </c:spPr>
          <c:marker>
            <c:symbol val="circle"/>
            <c:size val="6"/>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12700">
                <a:solidFill>
                  <a:schemeClr val="bg1"/>
                </a:solidFill>
                <a:round/>
              </a:ln>
              <a:effectLst>
                <a:outerShdw blurRad="40000" dist="23000" dir="5400000" rotWithShape="0">
                  <a:srgbClr val="000000">
                    <a:alpha val="35000"/>
                  </a:srgbClr>
                </a:outerShdw>
              </a:effectLst>
            </c:spPr>
          </c:marker>
          <c:dLbls>
            <c:dLbl>
              <c:idx val="0"/>
              <c:layout>
                <c:manualLayout>
                  <c:x val="-7.1548821548821542E-2"/>
                  <c:y val="-7.30994152046784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608-4882-A0BD-DEBE910E1459}"/>
                </c:ext>
              </c:extLst>
            </c:dLbl>
            <c:dLbl>
              <c:idx val="1"/>
              <c:layout>
                <c:manualLayout>
                  <c:x val="-9.2592592592592587E-2"/>
                  <c:y val="5.40123456790122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608-4882-A0BD-DEBE910E1459}"/>
                </c:ext>
              </c:extLst>
            </c:dLbl>
            <c:dLbl>
              <c:idx val="3"/>
              <c:layout>
                <c:manualLayout>
                  <c:x val="-7.5396825396825393E-2"/>
                  <c:y val="7.9904115061925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608-4882-A0BD-DEBE910E1459}"/>
                </c:ext>
              </c:extLst>
            </c:dLbl>
            <c:dLbl>
              <c:idx val="4"/>
              <c:layout>
                <c:manualLayout>
                  <c:x val="-6.6979174951615969E-2"/>
                  <c:y val="-7.19137081549017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608-4882-A0BD-DEBE910E1459}"/>
                </c:ext>
              </c:extLst>
            </c:dLbl>
            <c:dLbl>
              <c:idx val="5"/>
              <c:layout>
                <c:manualLayout>
                  <c:x val="-9.1269841269841348E-2"/>
                  <c:y val="7.9904115061925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608-4882-A0BD-DEBE910E1459}"/>
                </c:ext>
              </c:extLst>
            </c:dLbl>
            <c:dLbl>
              <c:idx val="6"/>
              <c:layout>
                <c:manualLayout>
                  <c:x val="-0.1148989898989899"/>
                  <c:y val="-2.006172839506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608-4882-A0BD-DEBE910E1459}"/>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PG Arial" panose="020B0604020202020204" pitchFamily="34" charset="0"/>
                    <a:ea typeface="+mn-ea"/>
                    <a:cs typeface="BPG 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ცხრილი1!$G$60:$G$66</c:f>
              <c:numCache>
                <c:formatCode>_(* #,##0.00_);_(* \(#,##0.00\);_(* "-"??_);_(@_)</c:formatCode>
                <c:ptCount val="7"/>
                <c:pt idx="0">
                  <c:v>68.534072054000106</c:v>
                </c:pt>
                <c:pt idx="1">
                  <c:v>-168.10667894950649</c:v>
                </c:pt>
                <c:pt idx="2">
                  <c:v>272.52188172510688</c:v>
                </c:pt>
                <c:pt idx="3">
                  <c:v>-1.691985782244541</c:v>
                </c:pt>
                <c:pt idx="4">
                  <c:v>4.5564408753862082</c:v>
                </c:pt>
                <c:pt idx="5">
                  <c:v>-0.55825297452925338</c:v>
                </c:pt>
                <c:pt idx="6">
                  <c:v>175.2554769482129</c:v>
                </c:pt>
              </c:numCache>
            </c:numRef>
          </c:val>
          <c:smooth val="1"/>
          <c:extLst>
            <c:ext xmlns:c16="http://schemas.microsoft.com/office/drawing/2014/chart" uri="{C3380CC4-5D6E-409C-BE32-E72D297353CC}">
              <c16:uniqueId val="{00000008-8608-4882-A0BD-DEBE910E1459}"/>
            </c:ext>
          </c:extLst>
        </c:ser>
        <c:dLbls>
          <c:showLegendKey val="0"/>
          <c:showVal val="0"/>
          <c:showCatName val="0"/>
          <c:showSerName val="0"/>
          <c:showPercent val="0"/>
          <c:showBubbleSize val="0"/>
        </c:dLbls>
        <c:marker val="1"/>
        <c:smooth val="0"/>
        <c:axId val="795480703"/>
        <c:axId val="795474047"/>
      </c:lineChart>
      <c:catAx>
        <c:axId val="1182271632"/>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PG Arial" panose="020B0604020202020204" pitchFamily="34" charset="0"/>
                <a:ea typeface="+mn-ea"/>
                <a:cs typeface="BPG Arial" panose="020B0604020202020204" pitchFamily="34" charset="0"/>
              </a:defRPr>
            </a:pPr>
            <a:endParaRPr lang="en-US"/>
          </a:p>
        </c:txPr>
        <c:crossAx val="1182264560"/>
        <c:crosses val="autoZero"/>
        <c:auto val="1"/>
        <c:lblAlgn val="ctr"/>
        <c:lblOffset val="100"/>
        <c:noMultiLvlLbl val="0"/>
      </c:catAx>
      <c:valAx>
        <c:axId val="118226456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PG Arial" panose="020B0604020202020204" pitchFamily="34" charset="0"/>
                <a:ea typeface="+mn-ea"/>
                <a:cs typeface="BPG Arial" panose="020B0604020202020204" pitchFamily="34" charset="0"/>
              </a:defRPr>
            </a:pPr>
            <a:endParaRPr lang="en-US"/>
          </a:p>
        </c:txPr>
        <c:crossAx val="1182271632"/>
        <c:crosses val="autoZero"/>
        <c:crossBetween val="between"/>
        <c:majorUnit val="100"/>
      </c:valAx>
      <c:valAx>
        <c:axId val="795474047"/>
        <c:scaling>
          <c:orientation val="minMax"/>
          <c:max val="400"/>
        </c:scaling>
        <c:delete val="1"/>
        <c:axPos val="r"/>
        <c:numFmt formatCode="#,##0" sourceLinked="0"/>
        <c:majorTickMark val="out"/>
        <c:minorTickMark val="none"/>
        <c:tickLblPos val="nextTo"/>
        <c:crossAx val="795480703"/>
        <c:crosses val="max"/>
        <c:crossBetween val="between"/>
        <c:majorUnit val="100"/>
      </c:valAx>
      <c:catAx>
        <c:axId val="795480703"/>
        <c:scaling>
          <c:orientation val="minMax"/>
        </c:scaling>
        <c:delete val="1"/>
        <c:axPos val="b"/>
        <c:majorTickMark val="out"/>
        <c:minorTickMark val="none"/>
        <c:tickLblPos val="nextTo"/>
        <c:crossAx val="795474047"/>
        <c:crosses val="autoZero"/>
        <c:auto val="1"/>
        <c:lblAlgn val="ctr"/>
        <c:lblOffset val="100"/>
        <c:noMultiLvlLbl val="0"/>
      </c:catAx>
      <c:spPr>
        <a:noFill/>
        <a:ln>
          <a:noFill/>
        </a:ln>
        <a:effectLst/>
      </c:spPr>
    </c:plotArea>
    <c:legend>
      <c:legendPos val="b"/>
      <c:layout>
        <c:manualLayout>
          <c:xMode val="edge"/>
          <c:yMode val="edge"/>
          <c:x val="0.21678383952006"/>
          <c:y val="1.5002632559735442E-3"/>
          <c:w val="0.62595613048368959"/>
          <c:h val="0.21500437445319334"/>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PG Arial" panose="020B0604020202020204" pitchFamily="34" charset="0"/>
              <a:ea typeface="+mn-ea"/>
              <a:cs typeface="BPG 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BPG Arial" panose="020B0604020202020204" pitchFamily="34" charset="0"/>
          <a:cs typeface="BPG 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0.19676</cdr:x>
      <cdr:y>0</cdr:y>
    </cdr:from>
    <cdr:to>
      <cdr:x>0.90729</cdr:x>
      <cdr:y>0.13358</cdr:y>
    </cdr:to>
    <cdr:sp macro="" textlink="">
      <cdr:nvSpPr>
        <cdr:cNvPr id="2" name="TextBox 1"/>
        <cdr:cNvSpPr txBox="1"/>
      </cdr:nvSpPr>
      <cdr:spPr>
        <a:xfrm xmlns:a="http://schemas.openxmlformats.org/drawingml/2006/main">
          <a:off x="560371" y="0"/>
          <a:ext cx="2023572" cy="2544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ka-GE" sz="1000" b="0">
              <a:effectLst/>
              <a:latin typeface="+mn-lt"/>
              <a:ea typeface="+mn-ea"/>
              <a:cs typeface="+mn-cs"/>
            </a:rPr>
            <a:t>სავალუტო   სტრუქტურა</a:t>
          </a:r>
          <a:endParaRPr lang="en-US" sz="1000" b="0">
            <a:effectLst/>
          </a:endParaRPr>
        </a:p>
        <a:p xmlns:a="http://schemas.openxmlformats.org/drawingml/2006/main">
          <a:endParaRPr lang="en-US" sz="1000" b="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Override>
</file>

<file path=word/theme/themeOverride2.xml><?xml version="1.0" encoding="utf-8"?>
<a:themeOverride xmlns:a="http://schemas.openxmlformats.org/drawingml/2006/main">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Override>
</file>

<file path=word/theme/themeOverride3.xml><?xml version="1.0" encoding="utf-8"?>
<a:themeOverride xmlns:a="http://schemas.openxmlformats.org/drawingml/2006/main">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Override>
</file>

<file path=word/theme/themeOverride4.xml><?xml version="1.0" encoding="utf-8"?>
<a:themeOverride xmlns:a="http://schemas.openxmlformats.org/drawingml/2006/main">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7376B-B7B3-4B3D-A56D-01C30887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11</Pages>
  <Words>3696</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Shanshiashvili</dc:creator>
  <cp:keywords/>
  <dc:description/>
  <cp:lastModifiedBy>Inga Gurgenidze</cp:lastModifiedBy>
  <cp:revision>8</cp:revision>
  <cp:lastPrinted>2018-03-21T10:15:00Z</cp:lastPrinted>
  <dcterms:created xsi:type="dcterms:W3CDTF">2019-03-28T17:52:00Z</dcterms:created>
  <dcterms:modified xsi:type="dcterms:W3CDTF">2019-05-20T14:26:00Z</dcterms:modified>
</cp:coreProperties>
</file>